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3F9" w:rsidRPr="00B615BC" w:rsidRDefault="005733F9" w:rsidP="00D75413">
      <w:pPr>
        <w:rPr>
          <w:rFonts w:ascii="Tahoma" w:hAnsi="Tahoma" w:cs="Tahoma"/>
          <w:b/>
          <w:sz w:val="20"/>
          <w:szCs w:val="20"/>
        </w:rPr>
      </w:pPr>
    </w:p>
    <w:p w:rsidR="005733F9" w:rsidRPr="00A51D9C" w:rsidRDefault="005733F9" w:rsidP="00A51D9C">
      <w:pPr>
        <w:pStyle w:val="Textoindependiente"/>
        <w:widowControl w:val="0"/>
        <w:tabs>
          <w:tab w:val="left" w:pos="2410"/>
          <w:tab w:val="left" w:pos="3261"/>
          <w:tab w:val="left" w:pos="3686"/>
          <w:tab w:val="left" w:pos="5954"/>
          <w:tab w:val="left" w:pos="6946"/>
        </w:tabs>
        <w:suppressAutoHyphens/>
        <w:spacing w:after="0" w:line="240" w:lineRule="auto"/>
        <w:ind w:left="3261" w:right="2267" w:hanging="1134"/>
        <w:jc w:val="both"/>
        <w:rPr>
          <w:rFonts w:ascii="Tahoma" w:hAnsi="Tahoma" w:cs="Tahoma"/>
          <w:i/>
          <w:sz w:val="20"/>
          <w:szCs w:val="20"/>
          <w:lang w:val="es-PE"/>
        </w:rPr>
      </w:pPr>
      <w:r w:rsidRPr="00A51D9C">
        <w:rPr>
          <w:rFonts w:ascii="Tahoma" w:hAnsi="Tahoma" w:cs="Tahoma"/>
          <w:b/>
          <w:i/>
          <w:sz w:val="20"/>
          <w:szCs w:val="20"/>
        </w:rPr>
        <w:t xml:space="preserve">Sumilla:  </w:t>
      </w:r>
      <w:r w:rsidR="00A51D9C" w:rsidRPr="00A51D9C">
        <w:rPr>
          <w:rFonts w:ascii="Tahoma" w:hAnsi="Tahoma" w:cs="Tahoma"/>
          <w:i/>
          <w:sz w:val="20"/>
          <w:szCs w:val="20"/>
          <w:lang w:val="es-MX"/>
        </w:rPr>
        <w:t xml:space="preserve">Para </w:t>
      </w:r>
      <w:r w:rsidR="00A51D9C">
        <w:rPr>
          <w:rFonts w:ascii="Tahoma" w:hAnsi="Tahoma" w:cs="Tahoma"/>
          <w:i/>
          <w:sz w:val="20"/>
          <w:szCs w:val="20"/>
        </w:rPr>
        <w:t>la configuración del supuesto</w:t>
      </w:r>
      <w:r w:rsidR="00A51D9C" w:rsidRPr="00A51D9C">
        <w:rPr>
          <w:rFonts w:ascii="Tahoma" w:hAnsi="Tahoma" w:cs="Tahoma"/>
          <w:i/>
          <w:sz w:val="20"/>
          <w:szCs w:val="20"/>
        </w:rPr>
        <w:t xml:space="preserve"> de hecho de la norma  se requiere acreditar la falsedad o inexactitud del documento cuestionado; es decir, que éste no haya sido expedido por el órgano emisor correspondiente, o que siendo válidamente expedido haya sido adulterado en su contenido,  produciendo un falseamiento de </w:t>
      </w:r>
      <w:r w:rsidR="00B64D9E">
        <w:rPr>
          <w:rFonts w:ascii="Tahoma" w:hAnsi="Tahoma" w:cs="Tahoma"/>
          <w:i/>
          <w:sz w:val="20"/>
          <w:szCs w:val="20"/>
        </w:rPr>
        <w:t>la realidad</w:t>
      </w:r>
      <w:r w:rsidRPr="00A51D9C">
        <w:rPr>
          <w:rFonts w:ascii="Tahoma" w:hAnsi="Tahoma" w:cs="Tahoma"/>
          <w:i/>
          <w:sz w:val="20"/>
          <w:szCs w:val="20"/>
        </w:rPr>
        <w:t>.</w:t>
      </w:r>
    </w:p>
    <w:p w:rsidR="005733F9" w:rsidRPr="00B615BC" w:rsidRDefault="005733F9" w:rsidP="005733F9">
      <w:pPr>
        <w:pStyle w:val="Textoindependiente3"/>
        <w:spacing w:after="0"/>
        <w:ind w:left="4248" w:right="179" w:firstLine="708"/>
        <w:jc w:val="both"/>
        <w:rPr>
          <w:rFonts w:ascii="Tahoma" w:hAnsi="Tahoma" w:cs="Tahoma"/>
          <w:b/>
          <w:sz w:val="20"/>
          <w:szCs w:val="20"/>
        </w:rPr>
      </w:pPr>
    </w:p>
    <w:p w:rsidR="005733F9" w:rsidRPr="00B615BC" w:rsidRDefault="005733F9" w:rsidP="005733F9">
      <w:pPr>
        <w:pStyle w:val="Textoindependiente3"/>
        <w:spacing w:after="0"/>
        <w:ind w:left="4248" w:right="179" w:firstLine="708"/>
        <w:jc w:val="both"/>
        <w:rPr>
          <w:rFonts w:ascii="Tahoma" w:hAnsi="Tahoma" w:cs="Tahoma"/>
          <w:sz w:val="20"/>
          <w:szCs w:val="20"/>
        </w:rPr>
      </w:pPr>
      <w:r w:rsidRPr="00B615BC">
        <w:rPr>
          <w:rFonts w:ascii="Tahoma" w:hAnsi="Tahoma" w:cs="Tahoma"/>
          <w:b/>
          <w:sz w:val="20"/>
          <w:szCs w:val="20"/>
        </w:rPr>
        <w:t>Lima</w:t>
      </w:r>
      <w:r w:rsidRPr="00B615BC">
        <w:rPr>
          <w:rFonts w:ascii="Tahoma" w:hAnsi="Tahoma" w:cs="Tahoma"/>
          <w:sz w:val="20"/>
          <w:szCs w:val="20"/>
        </w:rPr>
        <w:t xml:space="preserve">, </w:t>
      </w:r>
      <w:r w:rsidR="00503963">
        <w:rPr>
          <w:rFonts w:ascii="Tahoma" w:hAnsi="Tahoma" w:cs="Tahoma"/>
          <w:sz w:val="20"/>
          <w:szCs w:val="20"/>
        </w:rPr>
        <w:t>10 de Marzo de 2011</w:t>
      </w:r>
    </w:p>
    <w:p w:rsidR="005733F9" w:rsidRPr="00B615BC" w:rsidRDefault="005733F9" w:rsidP="005733F9">
      <w:pPr>
        <w:pStyle w:val="Textoindependiente3"/>
        <w:spacing w:after="0"/>
        <w:jc w:val="both"/>
        <w:rPr>
          <w:rFonts w:ascii="Tahoma" w:hAnsi="Tahoma" w:cs="Tahoma"/>
          <w:sz w:val="20"/>
          <w:szCs w:val="20"/>
        </w:rPr>
      </w:pPr>
    </w:p>
    <w:p w:rsidR="005733F9" w:rsidRPr="00B615BC" w:rsidRDefault="005733F9" w:rsidP="005733F9">
      <w:pPr>
        <w:spacing w:after="0" w:line="240" w:lineRule="auto"/>
        <w:jc w:val="both"/>
        <w:rPr>
          <w:rFonts w:ascii="Tahoma" w:hAnsi="Tahoma" w:cs="Tahoma"/>
          <w:sz w:val="20"/>
          <w:szCs w:val="20"/>
        </w:rPr>
      </w:pPr>
      <w:r w:rsidRPr="00B615BC">
        <w:rPr>
          <w:rFonts w:ascii="Tahoma" w:hAnsi="Tahoma" w:cs="Tahoma"/>
          <w:b/>
          <w:sz w:val="20"/>
          <w:szCs w:val="20"/>
        </w:rPr>
        <w:t>VISTO</w:t>
      </w:r>
      <w:r w:rsidRPr="00B615BC">
        <w:rPr>
          <w:rFonts w:ascii="Tahoma" w:hAnsi="Tahoma" w:cs="Tahoma"/>
          <w:sz w:val="20"/>
          <w:szCs w:val="20"/>
        </w:rPr>
        <w:t xml:space="preserve"> en sesión de fecha 0</w:t>
      </w:r>
      <w:r w:rsidR="008E505C">
        <w:rPr>
          <w:rFonts w:ascii="Tahoma" w:hAnsi="Tahoma" w:cs="Tahoma"/>
          <w:sz w:val="20"/>
          <w:szCs w:val="20"/>
        </w:rPr>
        <w:t>9</w:t>
      </w:r>
      <w:r w:rsidRPr="00B615BC">
        <w:rPr>
          <w:rFonts w:ascii="Tahoma" w:hAnsi="Tahoma" w:cs="Tahoma"/>
          <w:sz w:val="20"/>
          <w:szCs w:val="20"/>
        </w:rPr>
        <w:t xml:space="preserve"> de marzo de 2011 de la Primera Sala del Tribunal de Contrataciones del Estado el Expediente № </w:t>
      </w:r>
      <w:r w:rsidR="008E505C">
        <w:rPr>
          <w:rFonts w:ascii="Tahoma" w:hAnsi="Tahoma" w:cs="Tahoma"/>
          <w:sz w:val="20"/>
          <w:szCs w:val="20"/>
        </w:rPr>
        <w:t>1703</w:t>
      </w:r>
      <w:r w:rsidRPr="00B615BC">
        <w:rPr>
          <w:rFonts w:ascii="Tahoma" w:hAnsi="Tahoma" w:cs="Tahoma"/>
          <w:sz w:val="20"/>
          <w:szCs w:val="20"/>
        </w:rPr>
        <w:t xml:space="preserve">/2010.TC, sobre el procedimiento administrativo sancionador contra </w:t>
      </w:r>
      <w:r w:rsidR="008E505C" w:rsidRPr="00B615BC">
        <w:rPr>
          <w:rFonts w:ascii="Tahoma" w:hAnsi="Tahoma" w:cs="Tahoma"/>
          <w:sz w:val="20"/>
          <w:szCs w:val="20"/>
          <w:lang w:val="es-PE"/>
        </w:rPr>
        <w:t>la empresa CONCRETOS Y GEOTECNIA E.I.R.L.</w:t>
      </w:r>
      <w:r w:rsidR="008E505C">
        <w:rPr>
          <w:rFonts w:ascii="Tahoma" w:hAnsi="Tahoma" w:cs="Tahoma"/>
          <w:sz w:val="20"/>
          <w:szCs w:val="20"/>
        </w:rPr>
        <w:t xml:space="preserve">, </w:t>
      </w:r>
      <w:r w:rsidR="008E505C" w:rsidRPr="00B615BC">
        <w:rPr>
          <w:rFonts w:ascii="Tahoma" w:hAnsi="Tahoma" w:cs="Tahoma"/>
          <w:sz w:val="20"/>
          <w:szCs w:val="20"/>
          <w:lang w:val="es-MX"/>
        </w:rPr>
        <w:t xml:space="preserve">por la presentación de documentos falsos durante </w:t>
      </w:r>
      <w:r w:rsidR="008E505C" w:rsidRPr="00B615BC">
        <w:rPr>
          <w:rFonts w:ascii="Tahoma" w:hAnsi="Tahoma" w:cs="Tahoma"/>
          <w:sz w:val="20"/>
          <w:szCs w:val="20"/>
        </w:rPr>
        <w:t>la realización del trámite de Renovación de Inscripción como Proveedor de Bienes y Servicios ante el Registro Nacional de Proveedores</w:t>
      </w:r>
      <w:r w:rsidRPr="00B615BC">
        <w:rPr>
          <w:rFonts w:ascii="Tahoma" w:hAnsi="Tahoma" w:cs="Tahoma"/>
          <w:sz w:val="20"/>
          <w:szCs w:val="20"/>
        </w:rPr>
        <w:t xml:space="preserve">; y, atendiendo a los siguientes:   </w:t>
      </w:r>
    </w:p>
    <w:p w:rsidR="005733F9" w:rsidRPr="00B615BC" w:rsidRDefault="005733F9" w:rsidP="005733F9">
      <w:pPr>
        <w:spacing w:after="0" w:line="240" w:lineRule="auto"/>
        <w:ind w:right="45"/>
        <w:jc w:val="both"/>
        <w:rPr>
          <w:rFonts w:ascii="Tahoma" w:hAnsi="Tahoma" w:cs="Tahoma"/>
          <w:sz w:val="20"/>
          <w:szCs w:val="20"/>
        </w:rPr>
      </w:pPr>
    </w:p>
    <w:p w:rsidR="00045EC6" w:rsidRDefault="005733F9" w:rsidP="00045EC6">
      <w:pPr>
        <w:pStyle w:val="Ttulo2"/>
        <w:jc w:val="both"/>
        <w:rPr>
          <w:rFonts w:cs="Tahoma"/>
          <w:sz w:val="20"/>
        </w:rPr>
      </w:pPr>
      <w:r w:rsidRPr="00B615BC">
        <w:rPr>
          <w:rFonts w:cs="Tahoma"/>
          <w:sz w:val="20"/>
        </w:rPr>
        <w:t>ANTECEDENTES:</w:t>
      </w:r>
    </w:p>
    <w:p w:rsidR="00045EC6" w:rsidRDefault="00045EC6" w:rsidP="00045EC6">
      <w:pPr>
        <w:pStyle w:val="NormalWeb"/>
        <w:tabs>
          <w:tab w:val="num" w:pos="900"/>
        </w:tabs>
        <w:spacing w:before="0" w:beforeAutospacing="0" w:after="0" w:afterAutospacing="0"/>
        <w:ind w:left="360"/>
        <w:jc w:val="both"/>
        <w:rPr>
          <w:rFonts w:ascii="Tahoma" w:hAnsi="Tahoma" w:cs="Tahoma"/>
          <w:sz w:val="20"/>
          <w:szCs w:val="20"/>
        </w:rPr>
      </w:pPr>
    </w:p>
    <w:p w:rsidR="005733F9" w:rsidRPr="00B615BC" w:rsidRDefault="005733F9" w:rsidP="005733F9">
      <w:pPr>
        <w:pStyle w:val="NormalWeb"/>
        <w:numPr>
          <w:ilvl w:val="0"/>
          <w:numId w:val="5"/>
        </w:numPr>
        <w:tabs>
          <w:tab w:val="num" w:pos="900"/>
        </w:tabs>
        <w:spacing w:before="0" w:beforeAutospacing="0" w:after="0" w:afterAutospacing="0"/>
        <w:jc w:val="both"/>
        <w:rPr>
          <w:rFonts w:ascii="Tahoma" w:hAnsi="Tahoma" w:cs="Tahoma"/>
          <w:sz w:val="20"/>
          <w:szCs w:val="20"/>
        </w:rPr>
      </w:pPr>
      <w:r w:rsidRPr="00B615BC">
        <w:rPr>
          <w:rFonts w:ascii="Tahoma" w:hAnsi="Tahoma" w:cs="Tahoma"/>
          <w:sz w:val="20"/>
          <w:szCs w:val="20"/>
        </w:rPr>
        <w:t>El 14 de julio de 2008</w:t>
      </w:r>
      <w:r w:rsidRPr="00B615BC">
        <w:rPr>
          <w:rFonts w:ascii="Tahoma" w:hAnsi="Tahoma" w:cs="Tahoma"/>
          <w:sz w:val="20"/>
          <w:szCs w:val="20"/>
          <w:lang w:val="es-PE"/>
        </w:rPr>
        <w:t>, la empresa CONCRETOS Y GEOTECNIA E.I.R.L., en lo sucesivo el Proveedor, obtuvo su renovación de inscripción automática en los capítulos de bienes y servicios del Registro Nacional de Proveedores, con Registro Nº B00044281 y S00161325, con vigencia hasta el 17.07.2009.</w:t>
      </w:r>
    </w:p>
    <w:p w:rsidR="005733F9" w:rsidRPr="00B615BC" w:rsidRDefault="005733F9" w:rsidP="00045EC6">
      <w:pPr>
        <w:pStyle w:val="NormalWeb"/>
        <w:tabs>
          <w:tab w:val="num" w:pos="900"/>
        </w:tabs>
        <w:spacing w:before="0" w:beforeAutospacing="0" w:after="0" w:afterAutospacing="0"/>
        <w:ind w:left="142"/>
        <w:jc w:val="both"/>
        <w:rPr>
          <w:rFonts w:ascii="Tahoma" w:hAnsi="Tahoma" w:cs="Tahoma"/>
          <w:sz w:val="20"/>
          <w:szCs w:val="20"/>
        </w:rPr>
      </w:pPr>
    </w:p>
    <w:p w:rsidR="005733F9" w:rsidRPr="00B615BC" w:rsidRDefault="005733F9" w:rsidP="005733F9">
      <w:pPr>
        <w:pStyle w:val="NormalWeb"/>
        <w:numPr>
          <w:ilvl w:val="0"/>
          <w:numId w:val="5"/>
        </w:numPr>
        <w:tabs>
          <w:tab w:val="num" w:pos="900"/>
        </w:tabs>
        <w:spacing w:before="0" w:beforeAutospacing="0" w:after="0" w:afterAutospacing="0"/>
        <w:jc w:val="both"/>
        <w:rPr>
          <w:rFonts w:ascii="Tahoma" w:hAnsi="Tahoma" w:cs="Tahoma"/>
          <w:sz w:val="20"/>
          <w:szCs w:val="20"/>
        </w:rPr>
      </w:pPr>
      <w:r w:rsidRPr="00B615BC">
        <w:rPr>
          <w:rFonts w:ascii="Tahoma" w:hAnsi="Tahoma" w:cs="Tahoma"/>
          <w:sz w:val="20"/>
          <w:szCs w:val="20"/>
        </w:rPr>
        <w:t>Con fecha 21 de julio de 2008, Wilma Noelia Mori Pizarro, representante legal de</w:t>
      </w:r>
      <w:r w:rsidRPr="00B615BC">
        <w:rPr>
          <w:rFonts w:ascii="Tahoma" w:hAnsi="Tahoma" w:cs="Tahoma"/>
          <w:sz w:val="20"/>
          <w:szCs w:val="20"/>
          <w:lang w:val="es-PE"/>
        </w:rPr>
        <w:t>l Proveedor</w:t>
      </w:r>
      <w:r w:rsidRPr="00B615BC">
        <w:rPr>
          <w:rFonts w:ascii="Tahoma" w:hAnsi="Tahoma" w:cs="Tahoma"/>
          <w:sz w:val="20"/>
          <w:szCs w:val="20"/>
        </w:rPr>
        <w:t>, a efectos de formalizar su trámite de Renovación de Inscripción como proveedor, presentó entre otros documentos, copia de la Licencia Municipal Nº 000553 de fecha 05.08.2007, expedida por la Municipalidad Provincial de Chachapoyas.</w:t>
      </w:r>
    </w:p>
    <w:p w:rsidR="005733F9" w:rsidRPr="00B615BC" w:rsidRDefault="005733F9" w:rsidP="005733F9">
      <w:pPr>
        <w:pStyle w:val="NormalWeb"/>
        <w:tabs>
          <w:tab w:val="num" w:pos="900"/>
        </w:tabs>
        <w:spacing w:before="0" w:beforeAutospacing="0" w:after="0" w:afterAutospacing="0"/>
        <w:jc w:val="both"/>
        <w:rPr>
          <w:rFonts w:ascii="Tahoma" w:hAnsi="Tahoma" w:cs="Tahoma"/>
          <w:sz w:val="20"/>
          <w:szCs w:val="20"/>
        </w:rPr>
      </w:pPr>
    </w:p>
    <w:p w:rsidR="005733F9" w:rsidRPr="00B615BC" w:rsidRDefault="005733F9" w:rsidP="005733F9">
      <w:pPr>
        <w:pStyle w:val="NormalWeb"/>
        <w:numPr>
          <w:ilvl w:val="0"/>
          <w:numId w:val="5"/>
        </w:numPr>
        <w:tabs>
          <w:tab w:val="num" w:pos="900"/>
        </w:tabs>
        <w:spacing w:before="0" w:beforeAutospacing="0" w:after="0" w:afterAutospacing="0"/>
        <w:jc w:val="both"/>
        <w:rPr>
          <w:rFonts w:ascii="Tahoma" w:hAnsi="Tahoma" w:cs="Tahoma"/>
          <w:sz w:val="20"/>
          <w:szCs w:val="20"/>
        </w:rPr>
      </w:pPr>
      <w:r w:rsidRPr="00B615BC">
        <w:rPr>
          <w:rFonts w:ascii="Tahoma" w:hAnsi="Tahoma" w:cs="Tahoma"/>
          <w:sz w:val="20"/>
          <w:szCs w:val="20"/>
        </w:rPr>
        <w:t>De conformidad con lo establecido en el artículo 32º de la Ley 27444- Ley de Procedimiento Administrativo General, la Subdirección del Registro Nacional de Proveedores dispuso iniciar la fiscalización posterior a la documentación presentada por el Proveedor.</w:t>
      </w:r>
    </w:p>
    <w:p w:rsidR="005733F9" w:rsidRPr="00B615BC" w:rsidRDefault="005733F9" w:rsidP="005733F9">
      <w:pPr>
        <w:pStyle w:val="Prrafodelista"/>
        <w:rPr>
          <w:rFonts w:ascii="Tahoma" w:hAnsi="Tahoma" w:cs="Tahoma"/>
          <w:sz w:val="20"/>
        </w:rPr>
      </w:pPr>
    </w:p>
    <w:p w:rsidR="005733F9" w:rsidRPr="00B615BC" w:rsidRDefault="005733F9" w:rsidP="005733F9">
      <w:pPr>
        <w:pStyle w:val="NormalWeb"/>
        <w:numPr>
          <w:ilvl w:val="0"/>
          <w:numId w:val="5"/>
        </w:numPr>
        <w:tabs>
          <w:tab w:val="num" w:pos="900"/>
        </w:tabs>
        <w:spacing w:before="0" w:beforeAutospacing="0" w:after="0" w:afterAutospacing="0"/>
        <w:jc w:val="both"/>
        <w:rPr>
          <w:rFonts w:ascii="Tahoma" w:hAnsi="Tahoma" w:cs="Tahoma"/>
          <w:sz w:val="20"/>
          <w:szCs w:val="20"/>
        </w:rPr>
      </w:pPr>
      <w:r w:rsidRPr="00B615BC">
        <w:rPr>
          <w:rFonts w:ascii="Tahoma" w:hAnsi="Tahoma" w:cs="Tahoma"/>
          <w:sz w:val="20"/>
          <w:szCs w:val="20"/>
        </w:rPr>
        <w:t>Mediante Oficio Nº 3621-2008-CONSUCODE/SRNP.FP de fecha 07 de noviembre de 2008,  y notificado el 12 del mismo mes y año, se solicitó a la Municipalidad Provincial de Chachapoyas,  brinde su conformidad a la Licencia Municipal Nº 000553 de fecha 05.08.2007.</w:t>
      </w:r>
    </w:p>
    <w:p w:rsidR="005733F9" w:rsidRPr="00B615BC" w:rsidRDefault="005733F9" w:rsidP="005733F9">
      <w:pPr>
        <w:pStyle w:val="NormalWeb"/>
        <w:tabs>
          <w:tab w:val="num" w:pos="900"/>
        </w:tabs>
        <w:spacing w:before="0" w:beforeAutospacing="0" w:after="0" w:afterAutospacing="0"/>
        <w:jc w:val="both"/>
        <w:rPr>
          <w:rFonts w:ascii="Tahoma" w:hAnsi="Tahoma" w:cs="Tahoma"/>
          <w:sz w:val="20"/>
          <w:szCs w:val="20"/>
        </w:rPr>
      </w:pPr>
    </w:p>
    <w:p w:rsidR="005733F9" w:rsidRPr="00B615BC" w:rsidRDefault="005733F9" w:rsidP="005733F9">
      <w:pPr>
        <w:pStyle w:val="NormalWeb"/>
        <w:numPr>
          <w:ilvl w:val="0"/>
          <w:numId w:val="5"/>
        </w:numPr>
        <w:tabs>
          <w:tab w:val="num" w:pos="900"/>
        </w:tabs>
        <w:spacing w:before="0" w:beforeAutospacing="0" w:after="0" w:afterAutospacing="0"/>
        <w:jc w:val="both"/>
        <w:rPr>
          <w:rFonts w:ascii="Tahoma" w:hAnsi="Tahoma" w:cs="Tahoma"/>
          <w:sz w:val="20"/>
          <w:szCs w:val="20"/>
        </w:rPr>
      </w:pPr>
      <w:r w:rsidRPr="00B615BC">
        <w:rPr>
          <w:rFonts w:ascii="Tahoma" w:hAnsi="Tahoma" w:cs="Tahoma"/>
          <w:sz w:val="20"/>
          <w:szCs w:val="20"/>
        </w:rPr>
        <w:t>Mediante Oficio Nº 255-2008-MPCH-A/SG de fecha 20 de noviembre de 2008, recibido el 25 de noviembre de 2008, la Secretaria General de la Municipalidad Provincial de Chachapoyas, informó lo siguiente: “</w:t>
      </w:r>
      <w:r w:rsidRPr="00B615BC">
        <w:rPr>
          <w:rFonts w:ascii="Tahoma" w:hAnsi="Tahoma" w:cs="Tahoma"/>
          <w:i/>
          <w:iCs/>
          <w:sz w:val="20"/>
          <w:szCs w:val="20"/>
        </w:rPr>
        <w:t>Los datos consignados en la copia de la Licencia adjunta al documento de la referencia no son conformes con los que obran en los archivos correspondientes al año 2007”</w:t>
      </w:r>
      <w:r w:rsidRPr="00B615BC">
        <w:rPr>
          <w:rFonts w:ascii="Tahoma" w:hAnsi="Tahoma" w:cs="Tahoma"/>
          <w:sz w:val="20"/>
          <w:szCs w:val="20"/>
        </w:rPr>
        <w:t>.</w:t>
      </w:r>
    </w:p>
    <w:p w:rsidR="005733F9" w:rsidRPr="00B615BC" w:rsidRDefault="005733F9" w:rsidP="005733F9">
      <w:pPr>
        <w:pStyle w:val="Prrafodelista"/>
        <w:rPr>
          <w:rFonts w:ascii="Tahoma" w:hAnsi="Tahoma" w:cs="Tahoma"/>
          <w:sz w:val="20"/>
        </w:rPr>
      </w:pPr>
    </w:p>
    <w:p w:rsidR="005733F9" w:rsidRPr="00B615BC" w:rsidRDefault="005733F9" w:rsidP="005733F9">
      <w:pPr>
        <w:pStyle w:val="NormalWeb"/>
        <w:tabs>
          <w:tab w:val="num" w:pos="900"/>
        </w:tabs>
        <w:spacing w:before="0" w:beforeAutospacing="0" w:after="0" w:afterAutospacing="0"/>
        <w:ind w:left="360"/>
        <w:jc w:val="both"/>
        <w:rPr>
          <w:rFonts w:ascii="Tahoma" w:hAnsi="Tahoma" w:cs="Tahoma"/>
          <w:sz w:val="20"/>
          <w:szCs w:val="20"/>
        </w:rPr>
      </w:pPr>
      <w:r w:rsidRPr="00B615BC">
        <w:rPr>
          <w:rFonts w:ascii="Tahoma" w:hAnsi="Tahoma" w:cs="Tahoma"/>
          <w:sz w:val="20"/>
          <w:szCs w:val="20"/>
        </w:rPr>
        <w:t>Al referido oficio, la Municipalidad de Chachapoyas adjuntó la Licencia de Funcionamiento Nº 00553 de fecha 31 de julio de 2007 emitido a nombre del Sr. Piero Cedano Diaz identificado con RUC  10451602476.</w:t>
      </w:r>
    </w:p>
    <w:p w:rsidR="005733F9" w:rsidRPr="00B615BC" w:rsidRDefault="005733F9" w:rsidP="005733F9">
      <w:pPr>
        <w:pStyle w:val="NormalWeb"/>
        <w:tabs>
          <w:tab w:val="num" w:pos="900"/>
        </w:tabs>
        <w:spacing w:before="0" w:beforeAutospacing="0" w:after="0" w:afterAutospacing="0"/>
        <w:jc w:val="both"/>
        <w:rPr>
          <w:rFonts w:ascii="Tahoma" w:hAnsi="Tahoma" w:cs="Tahoma"/>
          <w:sz w:val="20"/>
          <w:szCs w:val="20"/>
        </w:rPr>
      </w:pPr>
    </w:p>
    <w:p w:rsidR="005733F9" w:rsidRPr="00B615BC" w:rsidRDefault="005733F9" w:rsidP="005733F9">
      <w:pPr>
        <w:pStyle w:val="NormalWeb"/>
        <w:numPr>
          <w:ilvl w:val="0"/>
          <w:numId w:val="5"/>
        </w:numPr>
        <w:tabs>
          <w:tab w:val="num" w:pos="900"/>
        </w:tabs>
        <w:spacing w:before="0" w:beforeAutospacing="0" w:after="0" w:afterAutospacing="0"/>
        <w:jc w:val="both"/>
        <w:rPr>
          <w:rFonts w:ascii="Tahoma" w:hAnsi="Tahoma" w:cs="Tahoma"/>
          <w:sz w:val="20"/>
          <w:szCs w:val="20"/>
        </w:rPr>
      </w:pPr>
      <w:r w:rsidRPr="00B615BC">
        <w:rPr>
          <w:rFonts w:ascii="Tahoma" w:hAnsi="Tahoma" w:cs="Tahoma"/>
          <w:sz w:val="20"/>
          <w:szCs w:val="20"/>
        </w:rPr>
        <w:t>Mediante Resolución Nº 044-2009-CONSUCODE/PRE de fecha 23 de enero de 2009, la Presidencia de CONSUCODE resolvió declarar la nulidad del trámite de Renovación de Inscripción como proveedor de bienes y servicios en el RNP de la empresa CONCRETOS Y GEOTECNIA E.I.R.L., con registros números B0044281 y S0161325, así como dejar sin efecto alguno la constancia de inscripción electrónica generada a su favor, y poner en conocimiento del Tribunal de Contrataciones y Adquisiciones del Estado los hechos acaecidos.</w:t>
      </w:r>
    </w:p>
    <w:p w:rsidR="005733F9" w:rsidRPr="00B615BC" w:rsidRDefault="005733F9" w:rsidP="005733F9">
      <w:pPr>
        <w:pStyle w:val="NormalWeb"/>
        <w:tabs>
          <w:tab w:val="num" w:pos="900"/>
        </w:tabs>
        <w:spacing w:before="0" w:beforeAutospacing="0" w:after="0" w:afterAutospacing="0"/>
        <w:jc w:val="both"/>
        <w:rPr>
          <w:rFonts w:ascii="Tahoma" w:hAnsi="Tahoma" w:cs="Tahoma"/>
          <w:sz w:val="20"/>
          <w:szCs w:val="20"/>
        </w:rPr>
      </w:pPr>
    </w:p>
    <w:p w:rsidR="005733F9" w:rsidRPr="00B615BC" w:rsidRDefault="005733F9" w:rsidP="005733F9">
      <w:pPr>
        <w:pStyle w:val="NormalWeb"/>
        <w:numPr>
          <w:ilvl w:val="0"/>
          <w:numId w:val="5"/>
        </w:numPr>
        <w:tabs>
          <w:tab w:val="num" w:pos="900"/>
        </w:tabs>
        <w:spacing w:before="0" w:beforeAutospacing="0" w:after="0" w:afterAutospacing="0"/>
        <w:jc w:val="both"/>
        <w:rPr>
          <w:rFonts w:ascii="Tahoma" w:hAnsi="Tahoma" w:cs="Tahoma"/>
          <w:sz w:val="20"/>
          <w:szCs w:val="20"/>
        </w:rPr>
      </w:pPr>
      <w:r w:rsidRPr="00B615BC">
        <w:rPr>
          <w:rFonts w:ascii="Tahoma" w:hAnsi="Tahoma" w:cs="Tahoma"/>
          <w:sz w:val="20"/>
          <w:szCs w:val="20"/>
        </w:rPr>
        <w:t>Mediante Oficio Nº 024-2009/SGE de fecha 26 de enero de 2009, y notificado el 30 del mismo mes y año, se notificó la Resolución detallada líneas arriba al Proveedor.</w:t>
      </w:r>
    </w:p>
    <w:p w:rsidR="005733F9" w:rsidRDefault="005733F9" w:rsidP="005733F9">
      <w:pPr>
        <w:pStyle w:val="Prrafodelista"/>
        <w:rPr>
          <w:rFonts w:ascii="Tahoma" w:hAnsi="Tahoma" w:cs="Tahoma"/>
          <w:sz w:val="20"/>
        </w:rPr>
      </w:pPr>
    </w:p>
    <w:p w:rsidR="00D157FC" w:rsidRPr="00B615BC" w:rsidRDefault="00D157FC" w:rsidP="005733F9">
      <w:pPr>
        <w:pStyle w:val="Prrafodelista"/>
        <w:rPr>
          <w:rFonts w:ascii="Tahoma" w:hAnsi="Tahoma" w:cs="Tahoma"/>
          <w:sz w:val="20"/>
        </w:rPr>
      </w:pPr>
    </w:p>
    <w:p w:rsidR="005733F9" w:rsidRPr="00B615BC" w:rsidRDefault="005733F9" w:rsidP="005733F9">
      <w:pPr>
        <w:pStyle w:val="NormalWeb"/>
        <w:numPr>
          <w:ilvl w:val="0"/>
          <w:numId w:val="5"/>
        </w:numPr>
        <w:tabs>
          <w:tab w:val="num" w:pos="900"/>
        </w:tabs>
        <w:spacing w:before="0" w:beforeAutospacing="0" w:after="0" w:afterAutospacing="0"/>
        <w:jc w:val="both"/>
        <w:rPr>
          <w:rFonts w:ascii="Tahoma" w:hAnsi="Tahoma" w:cs="Tahoma"/>
          <w:sz w:val="20"/>
          <w:szCs w:val="20"/>
        </w:rPr>
      </w:pPr>
      <w:r w:rsidRPr="00B615BC">
        <w:rPr>
          <w:rFonts w:ascii="Tahoma" w:hAnsi="Tahoma" w:cs="Tahoma"/>
          <w:sz w:val="20"/>
          <w:szCs w:val="20"/>
        </w:rPr>
        <w:t>Con Memorando Nº 1125-2010/DS-MSH de fecha 26 de noviembre de 2010, la Entidad puso en conocimiento de este Tribunal los hechos antes descritos; y en función a ello, mediante Decreto de fecha 01 de diciembre de 2010, se dispuso el inicio del procedimiento administrativo sancionador contra la empresa proveedora por supuesta responsabilidad en la presentación de documentos falsos o inexactos durante la realización del trámite de renovación de inscripción en el capítulo de bienes y servicios ante el Registro Nacional de Proveedores, infracción tipificada en el numeral 10) del artículo 294º del Reglamento, emplazando al contratista para que presente sus descargos en el plazo de diez (10) días, bajo apercibimiento de resolver con la documentación obrante en autos.</w:t>
      </w:r>
    </w:p>
    <w:p w:rsidR="005733F9" w:rsidRDefault="005733F9" w:rsidP="005733F9">
      <w:pPr>
        <w:pStyle w:val="Prrafodelista"/>
        <w:rPr>
          <w:rFonts w:ascii="Tahoma" w:hAnsi="Tahoma" w:cs="Tahoma"/>
          <w:sz w:val="20"/>
        </w:rPr>
      </w:pPr>
    </w:p>
    <w:p w:rsidR="00D157FC" w:rsidRPr="00B615BC" w:rsidRDefault="00D157FC" w:rsidP="005733F9">
      <w:pPr>
        <w:pStyle w:val="Prrafodelista"/>
        <w:rPr>
          <w:rFonts w:ascii="Tahoma" w:hAnsi="Tahoma" w:cs="Tahoma"/>
          <w:sz w:val="20"/>
        </w:rPr>
      </w:pPr>
    </w:p>
    <w:p w:rsidR="005733F9" w:rsidRPr="00B615BC" w:rsidRDefault="005733F9" w:rsidP="005733F9">
      <w:pPr>
        <w:pStyle w:val="NormalWeb"/>
        <w:numPr>
          <w:ilvl w:val="0"/>
          <w:numId w:val="5"/>
        </w:numPr>
        <w:tabs>
          <w:tab w:val="num" w:pos="900"/>
        </w:tabs>
        <w:spacing w:before="0" w:beforeAutospacing="0" w:after="0" w:afterAutospacing="0"/>
        <w:jc w:val="both"/>
        <w:rPr>
          <w:rFonts w:ascii="Tahoma" w:hAnsi="Tahoma" w:cs="Tahoma"/>
          <w:sz w:val="20"/>
          <w:szCs w:val="20"/>
        </w:rPr>
      </w:pPr>
      <w:r w:rsidRPr="00B615BC">
        <w:rPr>
          <w:rFonts w:ascii="Tahoma" w:hAnsi="Tahoma" w:cs="Tahoma"/>
          <w:sz w:val="20"/>
          <w:szCs w:val="20"/>
        </w:rPr>
        <w:t xml:space="preserve">Mediante escrito s/n de fecha 18 de febrero de 2011, el proveedor presentó sus descargos señalando lo siguiente: </w:t>
      </w:r>
    </w:p>
    <w:p w:rsidR="005733F9" w:rsidRDefault="005733F9" w:rsidP="005733F9">
      <w:pPr>
        <w:pStyle w:val="NormalWeb"/>
        <w:tabs>
          <w:tab w:val="num" w:pos="900"/>
        </w:tabs>
        <w:spacing w:before="0" w:beforeAutospacing="0" w:after="0" w:afterAutospacing="0"/>
        <w:jc w:val="both"/>
        <w:rPr>
          <w:rFonts w:ascii="Tahoma" w:hAnsi="Tahoma" w:cs="Tahoma"/>
          <w:sz w:val="20"/>
          <w:szCs w:val="20"/>
        </w:rPr>
      </w:pPr>
    </w:p>
    <w:p w:rsidR="00D157FC" w:rsidRPr="00B615BC" w:rsidRDefault="00D157FC" w:rsidP="005733F9">
      <w:pPr>
        <w:pStyle w:val="NormalWeb"/>
        <w:tabs>
          <w:tab w:val="num" w:pos="900"/>
        </w:tabs>
        <w:spacing w:before="0" w:beforeAutospacing="0" w:after="0" w:afterAutospacing="0"/>
        <w:jc w:val="both"/>
        <w:rPr>
          <w:rFonts w:ascii="Tahoma" w:hAnsi="Tahoma" w:cs="Tahoma"/>
          <w:sz w:val="20"/>
          <w:szCs w:val="20"/>
        </w:rPr>
      </w:pPr>
    </w:p>
    <w:p w:rsidR="005733F9" w:rsidRPr="00B615BC" w:rsidRDefault="005733F9" w:rsidP="005733F9">
      <w:pPr>
        <w:pStyle w:val="NormalWeb"/>
        <w:numPr>
          <w:ilvl w:val="0"/>
          <w:numId w:val="6"/>
        </w:numPr>
        <w:tabs>
          <w:tab w:val="clear" w:pos="1571"/>
          <w:tab w:val="num" w:pos="1134"/>
        </w:tabs>
        <w:spacing w:before="0" w:beforeAutospacing="0" w:after="0" w:afterAutospacing="0"/>
        <w:ind w:left="1410" w:hanging="567"/>
        <w:jc w:val="both"/>
        <w:rPr>
          <w:rFonts w:ascii="Tahoma" w:hAnsi="Tahoma" w:cs="Tahoma"/>
          <w:sz w:val="20"/>
          <w:szCs w:val="20"/>
        </w:rPr>
      </w:pPr>
      <w:r w:rsidRPr="00B615BC">
        <w:rPr>
          <w:rFonts w:ascii="Tahoma" w:hAnsi="Tahoma" w:cs="Tahoma"/>
          <w:sz w:val="20"/>
          <w:szCs w:val="20"/>
        </w:rPr>
        <w:t>El documento falso presentado fue elaborado el 05 de agosto del año 2007,  por lo que es a partir de dicha fecha que debía contabilizarse el plazo de prescripción a que hace referencia el artículo  300º del Reglamento.  Estando a ello, la infracción imputada habría prescrito el 05 de agosto de 2010, no pudiendo el Tribunal de Contrataciones aplicar sanción administrativa por dicho hecho.</w:t>
      </w:r>
    </w:p>
    <w:p w:rsidR="005733F9" w:rsidRPr="00B615BC" w:rsidRDefault="005733F9" w:rsidP="005733F9">
      <w:pPr>
        <w:pStyle w:val="NormalWeb"/>
        <w:spacing w:before="0" w:beforeAutospacing="0" w:after="0" w:afterAutospacing="0"/>
        <w:ind w:left="1410"/>
        <w:jc w:val="both"/>
        <w:rPr>
          <w:rFonts w:ascii="Tahoma" w:hAnsi="Tahoma" w:cs="Tahoma"/>
          <w:sz w:val="20"/>
          <w:szCs w:val="20"/>
        </w:rPr>
      </w:pPr>
    </w:p>
    <w:p w:rsidR="005733F9" w:rsidRPr="00B615BC" w:rsidRDefault="005733F9" w:rsidP="005733F9">
      <w:pPr>
        <w:pStyle w:val="NormalWeb"/>
        <w:numPr>
          <w:ilvl w:val="0"/>
          <w:numId w:val="6"/>
        </w:numPr>
        <w:tabs>
          <w:tab w:val="clear" w:pos="1571"/>
          <w:tab w:val="num" w:pos="1134"/>
        </w:tabs>
        <w:spacing w:before="0" w:beforeAutospacing="0" w:after="0" w:afterAutospacing="0"/>
        <w:ind w:left="1134" w:hanging="291"/>
        <w:jc w:val="both"/>
        <w:rPr>
          <w:rFonts w:ascii="Tahoma" w:hAnsi="Tahoma" w:cs="Tahoma"/>
          <w:sz w:val="20"/>
          <w:szCs w:val="20"/>
        </w:rPr>
      </w:pPr>
      <w:r w:rsidRPr="00B615BC">
        <w:rPr>
          <w:rFonts w:ascii="Tahoma" w:hAnsi="Tahoma" w:cs="Tahoma"/>
          <w:sz w:val="20"/>
          <w:szCs w:val="20"/>
        </w:rPr>
        <w:t xml:space="preserve"> Se admite y reconoce la falsedad del documento cuestionado como falso.</w:t>
      </w:r>
    </w:p>
    <w:p w:rsidR="005733F9" w:rsidRDefault="005733F9" w:rsidP="005733F9">
      <w:pPr>
        <w:pStyle w:val="NormalWeb"/>
        <w:tabs>
          <w:tab w:val="num" w:pos="900"/>
        </w:tabs>
        <w:spacing w:before="0" w:beforeAutospacing="0" w:after="0" w:afterAutospacing="0"/>
        <w:jc w:val="both"/>
        <w:rPr>
          <w:rFonts w:ascii="Tahoma" w:hAnsi="Tahoma" w:cs="Tahoma"/>
          <w:sz w:val="20"/>
          <w:szCs w:val="20"/>
        </w:rPr>
      </w:pPr>
    </w:p>
    <w:p w:rsidR="00D157FC" w:rsidRPr="00B615BC" w:rsidRDefault="00D157FC" w:rsidP="005733F9">
      <w:pPr>
        <w:pStyle w:val="NormalWeb"/>
        <w:tabs>
          <w:tab w:val="num" w:pos="900"/>
        </w:tabs>
        <w:spacing w:before="0" w:beforeAutospacing="0" w:after="0" w:afterAutospacing="0"/>
        <w:jc w:val="both"/>
        <w:rPr>
          <w:rFonts w:ascii="Tahoma" w:hAnsi="Tahoma" w:cs="Tahoma"/>
          <w:sz w:val="20"/>
          <w:szCs w:val="20"/>
        </w:rPr>
      </w:pPr>
    </w:p>
    <w:p w:rsidR="005733F9" w:rsidRPr="00B615BC" w:rsidRDefault="005733F9" w:rsidP="005733F9">
      <w:pPr>
        <w:pStyle w:val="NormalWeb"/>
        <w:numPr>
          <w:ilvl w:val="0"/>
          <w:numId w:val="5"/>
        </w:numPr>
        <w:tabs>
          <w:tab w:val="num" w:pos="900"/>
        </w:tabs>
        <w:spacing w:before="0" w:beforeAutospacing="0" w:after="0" w:afterAutospacing="0"/>
        <w:ind w:hanging="502"/>
        <w:jc w:val="both"/>
        <w:rPr>
          <w:rFonts w:ascii="Tahoma" w:hAnsi="Tahoma" w:cs="Tahoma"/>
          <w:sz w:val="20"/>
          <w:szCs w:val="20"/>
        </w:rPr>
      </w:pPr>
      <w:r w:rsidRPr="00B615BC">
        <w:rPr>
          <w:rFonts w:ascii="Tahoma" w:hAnsi="Tahoma" w:cs="Tahoma"/>
          <w:sz w:val="20"/>
          <w:szCs w:val="20"/>
        </w:rPr>
        <w:t>Por decreto del 28 de febrero de 2011, el Tribunal tiene por apersonado al presente procedimiento al Proveedor, por presentado sus descargos, por señalado su domicilio procesal sito en: Av. Arequipa Nº 3675 - Miraflores - Lima, remitiéndose el expediente a la Primera Sala del Tribunal para que resuelva.</w:t>
      </w:r>
    </w:p>
    <w:p w:rsidR="005733F9" w:rsidRDefault="005733F9" w:rsidP="005733F9">
      <w:pPr>
        <w:pStyle w:val="Prrafodelista"/>
        <w:ind w:left="567"/>
        <w:jc w:val="both"/>
        <w:rPr>
          <w:rFonts w:ascii="Tahoma" w:hAnsi="Tahoma" w:cs="Tahoma"/>
          <w:sz w:val="20"/>
          <w:lang w:val="es-ES"/>
        </w:rPr>
      </w:pPr>
    </w:p>
    <w:p w:rsidR="00D157FC" w:rsidRDefault="00D157FC" w:rsidP="005733F9">
      <w:pPr>
        <w:pStyle w:val="Prrafodelista"/>
        <w:ind w:left="567"/>
        <w:jc w:val="both"/>
        <w:rPr>
          <w:rFonts w:ascii="Tahoma" w:hAnsi="Tahoma" w:cs="Tahoma"/>
          <w:sz w:val="20"/>
          <w:lang w:val="es-ES"/>
        </w:rPr>
      </w:pPr>
    </w:p>
    <w:p w:rsidR="00D157FC" w:rsidRDefault="00D157FC" w:rsidP="005733F9">
      <w:pPr>
        <w:pStyle w:val="Prrafodelista"/>
        <w:ind w:left="567"/>
        <w:jc w:val="both"/>
        <w:rPr>
          <w:rFonts w:ascii="Tahoma" w:hAnsi="Tahoma" w:cs="Tahoma"/>
          <w:sz w:val="20"/>
          <w:lang w:val="es-ES"/>
        </w:rPr>
      </w:pPr>
    </w:p>
    <w:p w:rsidR="005733F9" w:rsidRPr="00B615BC" w:rsidRDefault="005733F9" w:rsidP="005733F9">
      <w:pPr>
        <w:tabs>
          <w:tab w:val="num" w:pos="9720"/>
        </w:tabs>
        <w:spacing w:after="0" w:line="240" w:lineRule="auto"/>
        <w:jc w:val="both"/>
        <w:rPr>
          <w:rFonts w:ascii="Tahoma" w:hAnsi="Tahoma" w:cs="Tahoma"/>
          <w:b/>
          <w:sz w:val="20"/>
          <w:szCs w:val="20"/>
        </w:rPr>
      </w:pPr>
      <w:r w:rsidRPr="00B615BC">
        <w:rPr>
          <w:rFonts w:ascii="Tahoma" w:hAnsi="Tahoma" w:cs="Tahoma"/>
          <w:b/>
          <w:sz w:val="20"/>
          <w:szCs w:val="20"/>
        </w:rPr>
        <w:t>FUNDAMENTACIÓN:</w:t>
      </w:r>
    </w:p>
    <w:p w:rsidR="005733F9" w:rsidRPr="00B615BC" w:rsidRDefault="005733F9" w:rsidP="005733F9">
      <w:pPr>
        <w:pStyle w:val="Textonotapie"/>
        <w:rPr>
          <w:b/>
          <w:bCs/>
          <w:lang w:val="es-MX"/>
        </w:rPr>
      </w:pPr>
    </w:p>
    <w:p w:rsidR="005733F9" w:rsidRPr="00B615BC" w:rsidRDefault="005733F9" w:rsidP="005733F9">
      <w:pPr>
        <w:rPr>
          <w:rFonts w:ascii="Tahoma" w:hAnsi="Tahoma" w:cs="Tahoma"/>
          <w:b/>
          <w:bCs/>
          <w:sz w:val="20"/>
          <w:szCs w:val="20"/>
        </w:rPr>
      </w:pPr>
      <w:r w:rsidRPr="00B615BC">
        <w:rPr>
          <w:rFonts w:ascii="Tahoma" w:hAnsi="Tahoma" w:cs="Tahoma"/>
          <w:b/>
          <w:bCs/>
          <w:sz w:val="20"/>
          <w:szCs w:val="20"/>
          <w:u w:val="single"/>
        </w:rPr>
        <w:t>De la Competencia del Tribunal de Contrataciones del Estado</w:t>
      </w:r>
    </w:p>
    <w:p w:rsidR="005733F9"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El numeral 1 del artículo 235 de la Ley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045EC6" w:rsidRDefault="00045EC6" w:rsidP="00045EC6">
      <w:pPr>
        <w:spacing w:after="0" w:line="240" w:lineRule="auto"/>
        <w:ind w:left="426"/>
        <w:jc w:val="both"/>
        <w:rPr>
          <w:rFonts w:ascii="Tahoma" w:hAnsi="Tahoma" w:cs="Tahoma"/>
          <w:sz w:val="20"/>
          <w:szCs w:val="20"/>
        </w:rPr>
      </w:pPr>
    </w:p>
    <w:p w:rsidR="005733F9" w:rsidRPr="00045EC6"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045EC6">
        <w:rPr>
          <w:rFonts w:ascii="Tahoma" w:hAnsi="Tahoma" w:cs="Tahoma"/>
          <w:sz w:val="20"/>
          <w:szCs w:val="20"/>
        </w:rPr>
        <w:t>En ese sentido, el Tribunal de Contrataciones del Estado es el órgano que tiene a su cargo el conocimiento y resolución de procedimientos de imposición de sanción de inhabilitación temporal o definitiva y económicas,  a que se contraen el artículo  y 52º de la Ley ( Texto Único Ordenado de la Ley de Contrataciones y Adquisiciones del Estado), a los proveedores, participantes, postores, contratistas y entidades, según corresponda, por infracciones a las disposiciones contenidas en la Ley y el presente Reglamento.</w:t>
      </w:r>
    </w:p>
    <w:p w:rsidR="00045EC6" w:rsidRDefault="00045EC6" w:rsidP="00045EC6">
      <w:pPr>
        <w:tabs>
          <w:tab w:val="num" w:pos="426"/>
        </w:tabs>
        <w:ind w:left="426" w:hanging="568"/>
        <w:jc w:val="both"/>
        <w:rPr>
          <w:rFonts w:ascii="Tahoma" w:hAnsi="Tahoma" w:cs="Tahoma"/>
          <w:b/>
          <w:bCs/>
          <w:sz w:val="20"/>
          <w:szCs w:val="20"/>
          <w:u w:val="single"/>
          <w:lang w:val="es-MX"/>
        </w:rPr>
      </w:pPr>
    </w:p>
    <w:p w:rsidR="005733F9" w:rsidRPr="00B615BC" w:rsidRDefault="005733F9" w:rsidP="00045EC6">
      <w:pPr>
        <w:tabs>
          <w:tab w:val="num" w:pos="426"/>
        </w:tabs>
        <w:ind w:left="426" w:hanging="568"/>
        <w:jc w:val="both"/>
        <w:rPr>
          <w:rFonts w:ascii="Tahoma" w:hAnsi="Tahoma" w:cs="Tahoma"/>
          <w:b/>
          <w:bCs/>
          <w:sz w:val="20"/>
          <w:szCs w:val="20"/>
          <w:u w:val="single"/>
          <w:lang w:val="es-MX"/>
        </w:rPr>
      </w:pPr>
      <w:r w:rsidRPr="00B615BC">
        <w:rPr>
          <w:rFonts w:ascii="Tahoma" w:hAnsi="Tahoma" w:cs="Tahoma"/>
          <w:b/>
          <w:bCs/>
          <w:sz w:val="20"/>
          <w:szCs w:val="20"/>
          <w:u w:val="single"/>
          <w:lang w:val="es-MX"/>
        </w:rPr>
        <w:t>Del Procedimiento Sancionador</w:t>
      </w:r>
    </w:p>
    <w:p w:rsidR="005733F9" w:rsidRPr="00B615BC" w:rsidRDefault="005733F9" w:rsidP="00045EC6">
      <w:pPr>
        <w:numPr>
          <w:ilvl w:val="0"/>
          <w:numId w:val="7"/>
        </w:numPr>
        <w:tabs>
          <w:tab w:val="clear" w:pos="900"/>
          <w:tab w:val="num" w:pos="426"/>
          <w:tab w:val="num" w:pos="454"/>
        </w:tabs>
        <w:spacing w:after="0" w:line="240" w:lineRule="auto"/>
        <w:ind w:left="426" w:hanging="568"/>
        <w:jc w:val="both"/>
        <w:rPr>
          <w:rFonts w:ascii="Tahoma" w:hAnsi="Tahoma" w:cs="Tahoma"/>
          <w:b/>
          <w:bCs/>
          <w:sz w:val="20"/>
          <w:szCs w:val="20"/>
          <w:u w:val="single"/>
          <w:lang w:val="es-MX"/>
        </w:rPr>
      </w:pPr>
      <w:r w:rsidRPr="00B615BC">
        <w:rPr>
          <w:rFonts w:ascii="Tahoma" w:hAnsi="Tahoma" w:cs="Tahoma"/>
          <w:sz w:val="20"/>
          <w:szCs w:val="20"/>
          <w:lang w:val="es-MX"/>
        </w:rPr>
        <w:t xml:space="preserve">El presente caso está referido a la supuesta responsabilidad de la empresa </w:t>
      </w:r>
      <w:r w:rsidRPr="00B615BC">
        <w:rPr>
          <w:rFonts w:ascii="Tahoma" w:hAnsi="Tahoma" w:cs="Tahoma"/>
          <w:b/>
          <w:bCs/>
          <w:sz w:val="20"/>
          <w:szCs w:val="20"/>
        </w:rPr>
        <w:t>CONCRETOS Y GEOTECNIA E.I.R.L.</w:t>
      </w:r>
      <w:r w:rsidRPr="00B615BC">
        <w:rPr>
          <w:rFonts w:ascii="Tahoma" w:hAnsi="Tahoma" w:cs="Tahoma"/>
          <w:sz w:val="20"/>
          <w:szCs w:val="20"/>
        </w:rPr>
        <w:t>,</w:t>
      </w:r>
      <w:r w:rsidRPr="00B615BC">
        <w:rPr>
          <w:rFonts w:ascii="Tahoma" w:hAnsi="Tahoma" w:cs="Tahoma"/>
          <w:sz w:val="20"/>
          <w:szCs w:val="20"/>
          <w:lang w:val="es-MX"/>
        </w:rPr>
        <w:t xml:space="preserve"> por la presentación de documentos falsos durante </w:t>
      </w:r>
      <w:r w:rsidRPr="00B615BC">
        <w:rPr>
          <w:rFonts w:ascii="Tahoma" w:hAnsi="Tahoma" w:cs="Tahoma"/>
          <w:sz w:val="20"/>
          <w:szCs w:val="20"/>
        </w:rPr>
        <w:t>la realización del trámite de Renovación de Inscripción como Proveedor de Bienes y Servicios ante el Registro Nacional de Proveedores</w:t>
      </w:r>
      <w:r w:rsidRPr="00B615BC">
        <w:rPr>
          <w:rFonts w:ascii="Tahoma" w:hAnsi="Tahoma" w:cs="Tahoma"/>
          <w:sz w:val="20"/>
          <w:szCs w:val="20"/>
          <w:lang w:val="es-MX"/>
        </w:rPr>
        <w:t xml:space="preserve">, </w:t>
      </w:r>
      <w:r w:rsidRPr="00B615BC">
        <w:rPr>
          <w:rFonts w:ascii="Tahoma" w:hAnsi="Tahoma" w:cs="Tahoma"/>
          <w:sz w:val="20"/>
          <w:szCs w:val="20"/>
        </w:rPr>
        <w:t>infracción tipificada en el numeral 10) del artículo 294</w:t>
      </w:r>
      <w:r w:rsidRPr="00B615BC">
        <w:rPr>
          <w:rStyle w:val="Refdenotaalpie"/>
          <w:rFonts w:ascii="Tahoma" w:hAnsi="Tahoma" w:cs="Tahoma"/>
          <w:sz w:val="20"/>
          <w:szCs w:val="20"/>
        </w:rPr>
        <w:footnoteReference w:id="2"/>
      </w:r>
      <w:r w:rsidRPr="00B615BC">
        <w:rPr>
          <w:rFonts w:ascii="Tahoma" w:hAnsi="Tahoma" w:cs="Tahoma"/>
          <w:sz w:val="20"/>
          <w:szCs w:val="20"/>
        </w:rPr>
        <w:t xml:space="preserve"> del Reglamento de la Ley de Contrataciones y Adquisiciones del Estado, aprobado por Decreto Supremo N.° 084-2004-PCM, en adelante el Reglamento.</w:t>
      </w:r>
    </w:p>
    <w:p w:rsidR="00045EC6" w:rsidRPr="00045EC6" w:rsidRDefault="00045EC6" w:rsidP="00045EC6">
      <w:pPr>
        <w:tabs>
          <w:tab w:val="num" w:pos="900"/>
        </w:tabs>
        <w:spacing w:after="0" w:line="240" w:lineRule="auto"/>
        <w:ind w:left="426"/>
        <w:jc w:val="both"/>
        <w:rPr>
          <w:rFonts w:ascii="Tahoma" w:hAnsi="Tahoma" w:cs="Tahoma"/>
          <w:sz w:val="20"/>
          <w:szCs w:val="20"/>
          <w:lang w:val="es-MX"/>
        </w:rPr>
      </w:pPr>
    </w:p>
    <w:p w:rsidR="005733F9" w:rsidRPr="00B615BC" w:rsidRDefault="005733F9" w:rsidP="00045EC6">
      <w:pPr>
        <w:numPr>
          <w:ilvl w:val="0"/>
          <w:numId w:val="7"/>
        </w:numPr>
        <w:tabs>
          <w:tab w:val="clear" w:pos="900"/>
          <w:tab w:val="num" w:pos="426"/>
          <w:tab w:val="num" w:pos="454"/>
        </w:tabs>
        <w:spacing w:after="0" w:line="240" w:lineRule="auto"/>
        <w:ind w:left="426" w:hanging="568"/>
        <w:jc w:val="both"/>
        <w:rPr>
          <w:rFonts w:ascii="Tahoma" w:hAnsi="Tahoma" w:cs="Tahoma"/>
          <w:sz w:val="20"/>
          <w:szCs w:val="20"/>
          <w:lang w:val="es-MX"/>
        </w:rPr>
      </w:pPr>
      <w:r w:rsidRPr="00B615BC">
        <w:rPr>
          <w:rFonts w:ascii="Tahoma" w:hAnsi="Tahoma" w:cs="Tahoma"/>
          <w:sz w:val="20"/>
          <w:szCs w:val="20"/>
        </w:rPr>
        <w:t xml:space="preserve">Asimismo, de acuerdo con el </w:t>
      </w:r>
      <w:r w:rsidRPr="00B615BC">
        <w:rPr>
          <w:rFonts w:ascii="Tahoma" w:hAnsi="Tahoma" w:cs="Tahoma"/>
          <w:i/>
          <w:iCs/>
          <w:sz w:val="20"/>
          <w:szCs w:val="20"/>
        </w:rPr>
        <w:t>principio de irrectroactividad</w:t>
      </w:r>
      <w:r w:rsidRPr="00B615BC">
        <w:rPr>
          <w:rFonts w:ascii="Tahoma" w:hAnsi="Tahoma" w:cs="Tahoma"/>
          <w:sz w:val="20"/>
          <w:szCs w:val="20"/>
        </w:rPr>
        <w:t xml:space="preserve"> consagrada en el inciso 5) del artículo 230 de la Ley 27444, Ley de Procedimiento Administrativo General, son aplicables las disposiciones sancionatorias vigentes al momento en que el administrado hubiera incurrido en la conducta a sancionar</w:t>
      </w:r>
      <w:r w:rsidRPr="00B615BC">
        <w:rPr>
          <w:rStyle w:val="Refdenotaalpie"/>
          <w:rFonts w:ascii="Tahoma" w:hAnsi="Tahoma" w:cs="Tahoma"/>
          <w:sz w:val="20"/>
          <w:szCs w:val="20"/>
        </w:rPr>
        <w:footnoteReference w:id="3"/>
      </w:r>
      <w:r w:rsidRPr="00B615BC">
        <w:rPr>
          <w:rFonts w:ascii="Tahoma" w:hAnsi="Tahoma" w:cs="Tahoma"/>
          <w:sz w:val="20"/>
          <w:szCs w:val="20"/>
        </w:rPr>
        <w:t>, de modo tal que en el presente caso, para la tipificación de la infracción que presuntamente habría cometido el Postor, resultan de aplicación las disposiciones normativas contenidas en los derogados Decretos Supremos Nº 083-2004-PCM y Nº 084-2004-PCM citados en el numeral anterior.</w:t>
      </w:r>
    </w:p>
    <w:p w:rsidR="00045EC6" w:rsidRPr="00045EC6" w:rsidRDefault="00045EC6" w:rsidP="00045EC6">
      <w:pPr>
        <w:tabs>
          <w:tab w:val="num" w:pos="900"/>
        </w:tabs>
        <w:spacing w:after="0" w:line="240" w:lineRule="auto"/>
        <w:ind w:left="426"/>
        <w:jc w:val="both"/>
        <w:rPr>
          <w:rFonts w:ascii="Tahoma" w:hAnsi="Tahoma" w:cs="Tahoma"/>
          <w:sz w:val="20"/>
          <w:szCs w:val="20"/>
          <w:lang w:val="es-MX"/>
        </w:rPr>
      </w:pPr>
    </w:p>
    <w:p w:rsidR="005733F9" w:rsidRPr="00B615BC" w:rsidRDefault="005733F9" w:rsidP="00045EC6">
      <w:pPr>
        <w:numPr>
          <w:ilvl w:val="0"/>
          <w:numId w:val="7"/>
        </w:numPr>
        <w:tabs>
          <w:tab w:val="clear" w:pos="900"/>
          <w:tab w:val="num" w:pos="426"/>
          <w:tab w:val="num" w:pos="454"/>
        </w:tabs>
        <w:spacing w:after="0" w:line="240" w:lineRule="auto"/>
        <w:ind w:left="426" w:hanging="568"/>
        <w:jc w:val="both"/>
        <w:rPr>
          <w:rFonts w:ascii="Tahoma" w:hAnsi="Tahoma" w:cs="Tahoma"/>
          <w:sz w:val="20"/>
          <w:szCs w:val="20"/>
          <w:lang w:val="es-MX"/>
        </w:rPr>
      </w:pPr>
      <w:r w:rsidRPr="00B615BC">
        <w:rPr>
          <w:rFonts w:ascii="Tahoma" w:hAnsi="Tahoma" w:cs="Tahoma"/>
          <w:sz w:val="20"/>
          <w:szCs w:val="20"/>
        </w:rPr>
        <w:t>Al respecto, la infracción imputada al Proveedor corresponde a la señalada en el numeral 10) del artículo 294 del Reglamento.</w:t>
      </w:r>
    </w:p>
    <w:p w:rsidR="00045EC6" w:rsidRDefault="00045EC6" w:rsidP="00045EC6">
      <w:pPr>
        <w:tabs>
          <w:tab w:val="num" w:pos="900"/>
        </w:tabs>
        <w:spacing w:after="0" w:line="240" w:lineRule="auto"/>
        <w:ind w:left="426"/>
        <w:jc w:val="both"/>
        <w:rPr>
          <w:rFonts w:ascii="Tahoma" w:hAnsi="Tahoma" w:cs="Tahoma"/>
          <w:sz w:val="20"/>
          <w:szCs w:val="20"/>
          <w:lang w:val="es-MX"/>
        </w:rPr>
      </w:pPr>
    </w:p>
    <w:p w:rsidR="005733F9" w:rsidRPr="00B615BC" w:rsidRDefault="005733F9" w:rsidP="00045EC6">
      <w:pPr>
        <w:numPr>
          <w:ilvl w:val="0"/>
          <w:numId w:val="7"/>
        </w:numPr>
        <w:tabs>
          <w:tab w:val="clear" w:pos="900"/>
          <w:tab w:val="num" w:pos="426"/>
          <w:tab w:val="num" w:pos="454"/>
        </w:tabs>
        <w:spacing w:after="0" w:line="240" w:lineRule="auto"/>
        <w:ind w:left="426" w:hanging="568"/>
        <w:jc w:val="both"/>
        <w:rPr>
          <w:rFonts w:ascii="Tahoma" w:hAnsi="Tahoma" w:cs="Tahoma"/>
          <w:sz w:val="20"/>
          <w:szCs w:val="20"/>
          <w:lang w:val="es-MX"/>
        </w:rPr>
      </w:pPr>
      <w:r w:rsidRPr="00B615BC">
        <w:rPr>
          <w:rFonts w:ascii="Tahoma" w:hAnsi="Tahoma" w:cs="Tahoma"/>
          <w:sz w:val="20"/>
          <w:szCs w:val="20"/>
          <w:lang w:val="es-MX"/>
        </w:rPr>
        <w:t xml:space="preserve">Para </w:t>
      </w:r>
      <w:r w:rsidRPr="00B615BC">
        <w:rPr>
          <w:rFonts w:ascii="Tahoma" w:hAnsi="Tahoma" w:cs="Tahoma"/>
          <w:sz w:val="20"/>
          <w:szCs w:val="20"/>
        </w:rPr>
        <w:t xml:space="preserve">la configuración de los supuestos de hecho de la norma que contiene la infracción imputada se requiere acreditar la falsedad o inexactitud del documento cuestionado; es </w:t>
      </w:r>
      <w:r w:rsidRPr="00B615BC">
        <w:rPr>
          <w:rFonts w:ascii="Tahoma" w:hAnsi="Tahoma" w:cs="Tahoma"/>
          <w:sz w:val="20"/>
          <w:szCs w:val="20"/>
        </w:rPr>
        <w:lastRenderedPageBreak/>
        <w:t xml:space="preserve">decir, que éste no haya sido expedido por el órgano emisor correspondiente, o que siendo válidamente expedido haya sido adulterado en su contenido, o que éste sea incongruente con la realidad, produciendo un falseamiento de ésta, y que haya sido presentado durante cualquier procedimiento seguido ante el Registro Nacional de Proveedores, ocasionando el  quebrantamiento de los </w:t>
      </w:r>
      <w:r w:rsidRPr="00B615BC">
        <w:rPr>
          <w:rFonts w:ascii="Tahoma" w:hAnsi="Tahoma" w:cs="Tahoma"/>
          <w:i/>
          <w:iCs/>
          <w:sz w:val="20"/>
          <w:szCs w:val="20"/>
        </w:rPr>
        <w:t>Principios de Moralidad</w:t>
      </w:r>
      <w:r w:rsidRPr="00B615BC">
        <w:rPr>
          <w:rFonts w:ascii="Tahoma" w:hAnsi="Tahoma" w:cs="Tahoma"/>
          <w:sz w:val="20"/>
          <w:szCs w:val="20"/>
        </w:rPr>
        <w:t xml:space="preserve"> y de </w:t>
      </w:r>
      <w:r w:rsidRPr="00B615BC">
        <w:rPr>
          <w:rFonts w:ascii="Tahoma" w:hAnsi="Tahoma" w:cs="Tahoma"/>
          <w:i/>
          <w:iCs/>
          <w:sz w:val="20"/>
          <w:szCs w:val="20"/>
        </w:rPr>
        <w:t>Presunción de Veracidad</w:t>
      </w:r>
      <w:r w:rsidRPr="00B615BC">
        <w:rPr>
          <w:rFonts w:ascii="Tahoma" w:hAnsi="Tahoma" w:cs="Tahoma"/>
          <w:sz w:val="20"/>
          <w:szCs w:val="20"/>
        </w:rPr>
        <w:t>, de conformidad con lo establecido en el inciso 1) del artículo 3 del Texto Único Ordenado de la Ley de Contrataciones y Adquisiciones del Estado, aprobado por Decreto Supremo N.° 083-2004-PCM, en lo sucesivo la Ley, en concordancia con lo dispuesto en el numeral 1.7 del Artículo IV del Título Preliminar y el numeral 42.1 del artículo 42 de la Ley del Procedimiento Administrativo General, Ley N.° 27444.</w:t>
      </w:r>
    </w:p>
    <w:p w:rsidR="005733F9" w:rsidRPr="00B615BC" w:rsidRDefault="005733F9" w:rsidP="00045EC6">
      <w:pPr>
        <w:pStyle w:val="Prrafodelista1"/>
        <w:tabs>
          <w:tab w:val="num" w:pos="426"/>
        </w:tabs>
        <w:ind w:left="426" w:hanging="568"/>
        <w:rPr>
          <w:rFonts w:ascii="Tahoma" w:hAnsi="Tahoma" w:cs="Tahoma"/>
          <w:sz w:val="20"/>
          <w:szCs w:val="20"/>
        </w:rPr>
      </w:pPr>
    </w:p>
    <w:p w:rsidR="005733F9" w:rsidRPr="00B615BC" w:rsidRDefault="005733F9" w:rsidP="00045EC6">
      <w:pPr>
        <w:pStyle w:val="Prrafodelista1"/>
        <w:tabs>
          <w:tab w:val="num" w:pos="426"/>
        </w:tabs>
        <w:ind w:left="426" w:hanging="568"/>
        <w:rPr>
          <w:rFonts w:ascii="Tahoma" w:hAnsi="Tahoma" w:cs="Tahoma"/>
          <w:b/>
          <w:bCs/>
          <w:sz w:val="20"/>
          <w:szCs w:val="20"/>
          <w:u w:val="single"/>
        </w:rPr>
      </w:pPr>
      <w:r w:rsidRPr="00B615BC">
        <w:rPr>
          <w:rFonts w:ascii="Tahoma" w:hAnsi="Tahoma" w:cs="Tahoma"/>
          <w:b/>
          <w:bCs/>
          <w:sz w:val="20"/>
          <w:szCs w:val="20"/>
          <w:u w:val="single"/>
        </w:rPr>
        <w:t xml:space="preserve">Análisis de los Hechos </w:t>
      </w:r>
    </w:p>
    <w:p w:rsidR="005733F9" w:rsidRPr="00B615BC" w:rsidRDefault="005733F9" w:rsidP="00045EC6">
      <w:pPr>
        <w:pStyle w:val="Prrafodelista1"/>
        <w:tabs>
          <w:tab w:val="num" w:pos="426"/>
        </w:tabs>
        <w:ind w:left="426" w:hanging="568"/>
        <w:rPr>
          <w:rFonts w:ascii="Tahoma" w:hAnsi="Tahoma" w:cs="Tahoma"/>
          <w:sz w:val="20"/>
          <w:szCs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En el caso que nos ocupa, la imputación contra el Proveedor se refiere a la supuesta falsedad de la Licencia Municipal Nº 000553 de fecha 05.08.2007.</w:t>
      </w:r>
    </w:p>
    <w:p w:rsidR="00045EC6" w:rsidRDefault="00045EC6" w:rsidP="00045EC6">
      <w:pPr>
        <w:spacing w:after="0" w:line="240" w:lineRule="auto"/>
        <w:ind w:left="426"/>
        <w:jc w:val="both"/>
        <w:rPr>
          <w:rFonts w:ascii="Tahoma" w:hAnsi="Tahoma" w:cs="Tahoma"/>
          <w:sz w:val="20"/>
          <w:szCs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 xml:space="preserve">En aplicación del </w:t>
      </w:r>
      <w:r w:rsidRPr="00B615BC">
        <w:rPr>
          <w:rFonts w:ascii="Tahoma" w:hAnsi="Tahoma" w:cs="Tahoma"/>
          <w:i/>
          <w:iCs/>
          <w:sz w:val="20"/>
          <w:szCs w:val="20"/>
        </w:rPr>
        <w:t xml:space="preserve">Principio de Privilegio de Controles Posteriores, </w:t>
      </w:r>
      <w:r w:rsidRPr="00B615BC">
        <w:rPr>
          <w:rFonts w:ascii="Tahoma" w:hAnsi="Tahoma" w:cs="Tahoma"/>
          <w:sz w:val="20"/>
          <w:szCs w:val="20"/>
        </w:rPr>
        <w:t>contemplado en el numeral 1.16 del Artículo IV del Título Preliminar de la Ley N.° 27444</w:t>
      </w:r>
      <w:r w:rsidRPr="00B615BC">
        <w:rPr>
          <w:rStyle w:val="Refdenotaalpie"/>
          <w:rFonts w:ascii="Tahoma" w:hAnsi="Tahoma" w:cs="Tahoma"/>
          <w:sz w:val="20"/>
          <w:szCs w:val="20"/>
        </w:rPr>
        <w:footnoteReference w:id="4"/>
      </w:r>
      <w:r w:rsidRPr="00B615BC">
        <w:rPr>
          <w:rFonts w:ascii="Tahoma" w:hAnsi="Tahoma" w:cs="Tahoma"/>
          <w:sz w:val="20"/>
          <w:szCs w:val="20"/>
        </w:rPr>
        <w:t>,  la Entidad solicitó mediante Oficio Nº 3621-2008-CONSUCODE/SRNP.FP, a la Municipalidad de Chachapoyas,  brinde su conformidad a los datos consignados en Licencia Municipal Nº 000553, expedida a favor del Proveedor.</w:t>
      </w:r>
    </w:p>
    <w:p w:rsidR="005733F9" w:rsidRPr="00B615BC" w:rsidRDefault="005733F9" w:rsidP="00045EC6">
      <w:pPr>
        <w:pStyle w:val="Prrafodelista"/>
        <w:tabs>
          <w:tab w:val="num" w:pos="426"/>
        </w:tabs>
        <w:ind w:left="426" w:hanging="568"/>
        <w:rPr>
          <w:rFonts w:ascii="Tahoma" w:hAnsi="Tahoma" w:cs="Tahoma"/>
          <w:sz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En atención a dicho requerimiento, con Oficio Nº 255-2008-MPCH-A/SG de fecha 20 de noviembre de 2008, informó que: “</w:t>
      </w:r>
      <w:r w:rsidRPr="00B615BC">
        <w:rPr>
          <w:rFonts w:ascii="Tahoma" w:hAnsi="Tahoma" w:cs="Tahoma"/>
          <w:i/>
          <w:iCs/>
          <w:sz w:val="20"/>
          <w:szCs w:val="20"/>
        </w:rPr>
        <w:t>Los datos consignados en la copia de la Licencia adjunta al documento de la referencia no son conformes con los que obran en los archivos correspondientes al año 2007”</w:t>
      </w:r>
      <w:r w:rsidRPr="00B615BC">
        <w:rPr>
          <w:rFonts w:ascii="Tahoma" w:hAnsi="Tahoma" w:cs="Tahoma"/>
          <w:sz w:val="20"/>
          <w:szCs w:val="20"/>
        </w:rPr>
        <w:t>.</w:t>
      </w:r>
    </w:p>
    <w:p w:rsidR="005733F9" w:rsidRPr="00B615BC" w:rsidRDefault="005733F9" w:rsidP="00045EC6">
      <w:pPr>
        <w:pStyle w:val="Prrafodelista"/>
        <w:tabs>
          <w:tab w:val="num" w:pos="426"/>
        </w:tabs>
        <w:ind w:left="426" w:hanging="568"/>
        <w:rPr>
          <w:rFonts w:ascii="Tahoma" w:hAnsi="Tahoma" w:cs="Tahoma"/>
          <w:sz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Dicha aseveración emitida por el supuesto emisor, permite constatar que los datos consignados en la Licencia Municipal Nº 000553 de fecha 05.08.2007, son falsos, pues el documento original remitido por la Entidad ha sido emitido a nombre del Sr. Piero Cedano Diaz identificado con RUC  10451602476, el 31 de julio de 2007, hechos que constituye prueba suficiente que permite desvirtuar el principio de Presunción de Veracidad que rige a los procedimientos administrativos, criterio que ha sido adoptado en reiterados pronunciamientos de este Tribunal.</w:t>
      </w:r>
    </w:p>
    <w:p w:rsidR="00045EC6" w:rsidRDefault="00045EC6" w:rsidP="00045EC6">
      <w:pPr>
        <w:tabs>
          <w:tab w:val="num" w:pos="426"/>
        </w:tabs>
        <w:ind w:left="426" w:hanging="568"/>
        <w:jc w:val="both"/>
        <w:rPr>
          <w:rFonts w:ascii="Tahoma" w:hAnsi="Tahoma" w:cs="Tahoma"/>
          <w:b/>
          <w:bCs/>
          <w:sz w:val="20"/>
          <w:szCs w:val="20"/>
          <w:u w:val="single"/>
        </w:rPr>
      </w:pPr>
    </w:p>
    <w:p w:rsidR="005733F9" w:rsidRPr="00B615BC" w:rsidRDefault="005733F9" w:rsidP="00045EC6">
      <w:pPr>
        <w:tabs>
          <w:tab w:val="num" w:pos="426"/>
        </w:tabs>
        <w:ind w:left="426" w:hanging="568"/>
        <w:jc w:val="both"/>
        <w:rPr>
          <w:rFonts w:ascii="Tahoma" w:hAnsi="Tahoma" w:cs="Tahoma"/>
          <w:b/>
          <w:bCs/>
          <w:sz w:val="20"/>
          <w:szCs w:val="20"/>
          <w:u w:val="single"/>
        </w:rPr>
      </w:pPr>
      <w:r w:rsidRPr="00B615BC">
        <w:rPr>
          <w:rFonts w:ascii="Tahoma" w:hAnsi="Tahoma" w:cs="Tahoma"/>
          <w:b/>
          <w:bCs/>
          <w:sz w:val="20"/>
          <w:szCs w:val="20"/>
          <w:u w:val="single"/>
        </w:rPr>
        <w:t>Análisis de los descargos</w:t>
      </w: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Respecto de los hechos imputados, al momento de presentar sus descargos, el Proveedor ha admitido que el documento presentado es falso, sin embargo, señaló que este Colegiado no puede resolver la presente controversia, toda vez que  la causal tipificada como sancionable ya ha prescrito. Según lo indicado, al tener el documento falso fecha de emisión el 05  de agosto de 2007, esta infracción habría prescrito el 05 de agosto de 2010.</w:t>
      </w:r>
    </w:p>
    <w:p w:rsidR="005733F9" w:rsidRPr="00B615BC" w:rsidRDefault="005733F9" w:rsidP="00045EC6">
      <w:pPr>
        <w:pStyle w:val="Prrafodelista"/>
        <w:tabs>
          <w:tab w:val="num" w:pos="426"/>
        </w:tabs>
        <w:ind w:left="426" w:hanging="568"/>
        <w:rPr>
          <w:rFonts w:ascii="Tahoma" w:hAnsi="Tahoma" w:cs="Tahoma"/>
          <w:sz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lastRenderedPageBreak/>
        <w:t>En este punto, cabe advertir que el proveedor pretende exculparse de responsabilidad alegando la prescripción de los hechos denunciados.</w:t>
      </w:r>
    </w:p>
    <w:p w:rsidR="00930D43" w:rsidRDefault="00930D43" w:rsidP="00045EC6">
      <w:pPr>
        <w:tabs>
          <w:tab w:val="num" w:pos="426"/>
        </w:tabs>
        <w:spacing w:after="0" w:line="240" w:lineRule="auto"/>
        <w:ind w:left="426" w:hanging="568"/>
        <w:jc w:val="both"/>
        <w:rPr>
          <w:rFonts w:ascii="Tahoma" w:hAnsi="Tahoma" w:cs="Tahoma"/>
          <w:sz w:val="20"/>
          <w:szCs w:val="20"/>
        </w:rPr>
      </w:pPr>
    </w:p>
    <w:p w:rsidR="00045EC6"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En este sentido, debe indicarse que de conformidad con el artículo 300º del Reglamento de la Ley, las infracciones establecidas en el artículo 294º y 295º para efectos de las sanciones, prescriben a los tres (3) años de cometidas.</w:t>
      </w:r>
    </w:p>
    <w:p w:rsidR="00045EC6" w:rsidRDefault="00045EC6" w:rsidP="00045EC6">
      <w:pPr>
        <w:pStyle w:val="Prrafodelista"/>
        <w:rPr>
          <w:rFonts w:ascii="Tahoma" w:hAnsi="Tahoma" w:cs="Tahoma"/>
          <w:sz w:val="20"/>
        </w:rPr>
      </w:pPr>
    </w:p>
    <w:p w:rsidR="005810F4" w:rsidRDefault="005733F9" w:rsidP="005810F4">
      <w:pPr>
        <w:tabs>
          <w:tab w:val="num" w:pos="426"/>
        </w:tabs>
        <w:spacing w:after="0" w:line="240" w:lineRule="auto"/>
        <w:ind w:left="426"/>
        <w:jc w:val="both"/>
        <w:rPr>
          <w:rFonts w:ascii="Tahoma" w:hAnsi="Tahoma" w:cs="Tahoma"/>
          <w:sz w:val="20"/>
          <w:szCs w:val="20"/>
        </w:rPr>
      </w:pPr>
      <w:r w:rsidRPr="00045EC6">
        <w:rPr>
          <w:rFonts w:ascii="Tahoma" w:hAnsi="Tahoma" w:cs="Tahoma"/>
          <w:sz w:val="20"/>
          <w:szCs w:val="20"/>
        </w:rPr>
        <w:t xml:space="preserve">Dicho plazo de prescripción comienza a contarse desde el </w:t>
      </w:r>
      <w:r w:rsidRPr="00045EC6">
        <w:rPr>
          <w:rFonts w:ascii="Tahoma" w:hAnsi="Tahoma" w:cs="Tahoma"/>
          <w:sz w:val="20"/>
          <w:szCs w:val="20"/>
          <w:u w:val="single"/>
        </w:rPr>
        <w:t>día en que la infracción se hubiese cometido</w:t>
      </w:r>
      <w:r w:rsidRPr="00045EC6">
        <w:rPr>
          <w:rFonts w:ascii="Tahoma" w:hAnsi="Tahoma" w:cs="Tahoma"/>
          <w:sz w:val="20"/>
          <w:szCs w:val="20"/>
        </w:rPr>
        <w:t xml:space="preserve"> y se interrumpe cuando la Administración inicie el procedimiento para sancionarla.</w:t>
      </w:r>
    </w:p>
    <w:p w:rsidR="005810F4" w:rsidRDefault="005810F4" w:rsidP="005810F4">
      <w:pPr>
        <w:tabs>
          <w:tab w:val="num" w:pos="426"/>
        </w:tabs>
        <w:spacing w:after="0" w:line="240" w:lineRule="auto"/>
        <w:ind w:left="426"/>
        <w:jc w:val="both"/>
        <w:rPr>
          <w:rFonts w:ascii="Tahoma" w:hAnsi="Tahoma" w:cs="Tahoma"/>
          <w:sz w:val="20"/>
          <w:szCs w:val="20"/>
        </w:rPr>
      </w:pPr>
    </w:p>
    <w:p w:rsidR="005733F9" w:rsidRPr="00B615BC" w:rsidRDefault="005733F9" w:rsidP="005810F4">
      <w:pPr>
        <w:tabs>
          <w:tab w:val="num" w:pos="426"/>
        </w:tabs>
        <w:spacing w:after="0" w:line="240" w:lineRule="auto"/>
        <w:ind w:left="426"/>
        <w:jc w:val="both"/>
        <w:rPr>
          <w:rFonts w:ascii="Tahoma" w:hAnsi="Tahoma" w:cs="Tahoma"/>
          <w:sz w:val="20"/>
          <w:szCs w:val="20"/>
        </w:rPr>
      </w:pPr>
      <w:r w:rsidRPr="00B615BC">
        <w:rPr>
          <w:rFonts w:ascii="Tahoma" w:hAnsi="Tahoma" w:cs="Tahoma"/>
          <w:sz w:val="20"/>
          <w:szCs w:val="20"/>
        </w:rPr>
        <w:t>La prescripción se interrumpirá con el inicio del procedimiento de ejecución y se reanudará tres meses después de producido dicho acto.</w:t>
      </w:r>
    </w:p>
    <w:p w:rsidR="005733F9" w:rsidRPr="00B615BC" w:rsidRDefault="005733F9" w:rsidP="00045EC6">
      <w:pPr>
        <w:pStyle w:val="Prrafodelista"/>
        <w:tabs>
          <w:tab w:val="num" w:pos="426"/>
        </w:tabs>
        <w:ind w:left="426" w:hanging="568"/>
        <w:rPr>
          <w:rFonts w:ascii="Tahoma" w:hAnsi="Tahoma" w:cs="Tahoma"/>
          <w:sz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 xml:space="preserve">Tal como se indicó en los párrafos precedentes, el inicio del cómputo del plazo de  prescripción se realiza cuando se produce el acto susceptible de infracción. Así, </w:t>
      </w:r>
      <w:r w:rsidRPr="00B615BC">
        <w:rPr>
          <w:rFonts w:ascii="Tahoma" w:hAnsi="Tahoma" w:cs="Tahoma"/>
          <w:sz w:val="20"/>
          <w:szCs w:val="20"/>
          <w:u w:val="single"/>
        </w:rPr>
        <w:t>la presentación de documentos falsos</w:t>
      </w:r>
      <w:r w:rsidRPr="00B615BC">
        <w:rPr>
          <w:rFonts w:ascii="Tahoma" w:hAnsi="Tahoma" w:cs="Tahoma"/>
          <w:sz w:val="20"/>
          <w:szCs w:val="20"/>
        </w:rPr>
        <w:t xml:space="preserve"> se configura cuando </w:t>
      </w:r>
      <w:r w:rsidRPr="00B615BC">
        <w:rPr>
          <w:rFonts w:ascii="Tahoma" w:hAnsi="Tahoma" w:cs="Tahoma"/>
          <w:b/>
          <w:bCs/>
          <w:sz w:val="20"/>
          <w:szCs w:val="20"/>
        </w:rPr>
        <w:t>se presenta</w:t>
      </w:r>
      <w:r w:rsidRPr="00B615BC">
        <w:rPr>
          <w:rFonts w:ascii="Tahoma" w:hAnsi="Tahoma" w:cs="Tahoma"/>
          <w:sz w:val="20"/>
          <w:szCs w:val="20"/>
        </w:rPr>
        <w:t xml:space="preserve"> efectivamente el documento ante las Entidades o al CONSUCODE( actualmente OSCE) y no cuando se elabora el documento que tergiversa la realidad.</w:t>
      </w:r>
    </w:p>
    <w:p w:rsidR="005810F4" w:rsidRDefault="005810F4" w:rsidP="005810F4">
      <w:pPr>
        <w:spacing w:after="0" w:line="240" w:lineRule="auto"/>
        <w:ind w:left="426"/>
        <w:jc w:val="both"/>
        <w:rPr>
          <w:rFonts w:ascii="Tahoma" w:hAnsi="Tahoma" w:cs="Tahoma"/>
          <w:sz w:val="20"/>
          <w:szCs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 xml:space="preserve">En ese sentido, se advierte que el documento falso fue presentado en el trámite de renovación de inscripción ante el R.N.P. el </w:t>
      </w:r>
      <w:r w:rsidRPr="00B615BC">
        <w:rPr>
          <w:rFonts w:ascii="Tahoma" w:hAnsi="Tahoma" w:cs="Tahoma"/>
          <w:sz w:val="20"/>
          <w:szCs w:val="20"/>
          <w:u w:val="single"/>
        </w:rPr>
        <w:t>21 de julio de 2008</w:t>
      </w:r>
      <w:r w:rsidRPr="00B615BC">
        <w:rPr>
          <w:rFonts w:ascii="Tahoma" w:hAnsi="Tahoma" w:cs="Tahoma"/>
          <w:sz w:val="20"/>
          <w:szCs w:val="20"/>
        </w:rPr>
        <w:t xml:space="preserve">, la correspondiente prescripción se configuraría el </w:t>
      </w:r>
      <w:r w:rsidRPr="00B615BC">
        <w:rPr>
          <w:rFonts w:ascii="Tahoma" w:hAnsi="Tahoma" w:cs="Tahoma"/>
          <w:sz w:val="20"/>
          <w:szCs w:val="20"/>
          <w:u w:val="single"/>
        </w:rPr>
        <w:t>21 de julio de 2011</w:t>
      </w:r>
      <w:r w:rsidRPr="00B615BC">
        <w:rPr>
          <w:rFonts w:ascii="Tahoma" w:hAnsi="Tahoma" w:cs="Tahoma"/>
          <w:sz w:val="20"/>
          <w:szCs w:val="20"/>
        </w:rPr>
        <w:t>, es decir tres años después  de su comisión, por lo que a la fecha en la que se evalúa la responsabilidad del proveedor, este Colegiado se encuentra plenamente habilitado y competente para manifestarse respecto su responsabilidad.</w:t>
      </w:r>
    </w:p>
    <w:p w:rsidR="005733F9" w:rsidRPr="00B615BC" w:rsidRDefault="005733F9" w:rsidP="00045EC6">
      <w:pPr>
        <w:pStyle w:val="Prrafodelista"/>
        <w:tabs>
          <w:tab w:val="num" w:pos="426"/>
        </w:tabs>
        <w:ind w:left="426" w:hanging="568"/>
        <w:rPr>
          <w:rFonts w:ascii="Tahoma" w:hAnsi="Tahoma" w:cs="Tahoma"/>
          <w:sz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 xml:space="preserve">De lo señalado con anterioridad, se puede concluir que el Proveedor presentó documento falso, a efectos de formalizar su trámite de renovación de inscripción como proveedor de bienes y servicios ante el Registro Nacional de Proveedores, tal como se ha podido </w:t>
      </w:r>
      <w:r w:rsidRPr="00B615BC">
        <w:rPr>
          <w:rFonts w:ascii="Tahoma" w:hAnsi="Tahoma" w:cs="Tahoma"/>
          <w:sz w:val="20"/>
          <w:szCs w:val="20"/>
          <w:u w:val="single"/>
        </w:rPr>
        <w:t>constatar de la información proporcionada por la Entidad Edil</w:t>
      </w:r>
      <w:r w:rsidRPr="00B615BC">
        <w:rPr>
          <w:rFonts w:ascii="Tahoma" w:hAnsi="Tahoma" w:cs="Tahoma"/>
          <w:sz w:val="20"/>
          <w:szCs w:val="20"/>
        </w:rPr>
        <w:t xml:space="preserve">; con lo cual, queda evidenciado, de todo lo anteriormente expresado, la </w:t>
      </w:r>
      <w:r w:rsidRPr="00B615BC">
        <w:rPr>
          <w:rFonts w:ascii="Tahoma" w:hAnsi="Tahoma" w:cs="Tahoma"/>
          <w:i/>
          <w:iCs/>
          <w:sz w:val="20"/>
          <w:szCs w:val="20"/>
        </w:rPr>
        <w:t>trasgresión al Principio de Presunción de Veracidad</w:t>
      </w:r>
      <w:r w:rsidRPr="00B615BC">
        <w:rPr>
          <w:rFonts w:ascii="Tahoma" w:hAnsi="Tahoma" w:cs="Tahoma"/>
          <w:sz w:val="20"/>
          <w:szCs w:val="20"/>
        </w:rPr>
        <w:t xml:space="preserve"> en la que incurrió la empresa proveedora.</w:t>
      </w:r>
    </w:p>
    <w:p w:rsidR="005733F9" w:rsidRPr="00B615BC" w:rsidRDefault="005733F9" w:rsidP="00045EC6">
      <w:pPr>
        <w:pStyle w:val="Prrafodelista"/>
        <w:tabs>
          <w:tab w:val="num" w:pos="426"/>
        </w:tabs>
        <w:ind w:left="426" w:hanging="568"/>
        <w:rPr>
          <w:rFonts w:ascii="Tahoma" w:hAnsi="Tahoma" w:cs="Tahoma"/>
          <w:sz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 xml:space="preserve">Finalmente, cabe señalar que si bien es cierto que la licencia de funcionamiento objeto de cuestionamiento no es un requisito establecido en el TUPA del CONSUCODE (actualmente OSCE) para el trámite de renovación de inscripción como Proveedor de Bienes y Servicios; sin embargo, ello no obsta para que sea objeto de </w:t>
      </w:r>
      <w:r w:rsidRPr="00B615BC">
        <w:rPr>
          <w:rFonts w:ascii="Tahoma" w:hAnsi="Tahoma" w:cs="Tahoma"/>
          <w:i/>
          <w:iCs/>
          <w:sz w:val="20"/>
          <w:szCs w:val="20"/>
        </w:rPr>
        <w:t>fiscalización posterior</w:t>
      </w:r>
      <w:r w:rsidRPr="00B615BC">
        <w:rPr>
          <w:rFonts w:ascii="Tahoma" w:hAnsi="Tahoma" w:cs="Tahoma"/>
          <w:sz w:val="20"/>
          <w:szCs w:val="20"/>
        </w:rPr>
        <w:t xml:space="preserve"> al estar de por medio el interés público, toda vez que la empresa denunciada suscribió el formulario oficial </w:t>
      </w:r>
      <w:r w:rsidRPr="00B615BC">
        <w:rPr>
          <w:rFonts w:ascii="Tahoma" w:hAnsi="Tahoma" w:cs="Tahoma"/>
          <w:i/>
          <w:iCs/>
          <w:sz w:val="20"/>
          <w:szCs w:val="20"/>
        </w:rPr>
        <w:t>- Declaración Jurada de Veracidad de Documentos de Información y Declaración Presentada</w:t>
      </w:r>
      <w:r w:rsidRPr="00B615BC">
        <w:rPr>
          <w:rFonts w:ascii="Tahoma" w:hAnsi="Tahoma" w:cs="Tahoma"/>
          <w:sz w:val="20"/>
          <w:szCs w:val="20"/>
        </w:rPr>
        <w:t xml:space="preserve"> - en la cual manifestó que toda la información proporcionada era veraz, que los documentos presentados eran auténticos, que conocían las sanciones aplicables y que, en caso se comprobase que lo expresado en dicha declaración jurada no se ajustaba a la verdad, </w:t>
      </w:r>
      <w:r w:rsidRPr="00B615BC">
        <w:rPr>
          <w:rFonts w:ascii="Tahoma" w:hAnsi="Tahoma" w:cs="Tahoma"/>
          <w:b/>
          <w:bCs/>
          <w:sz w:val="20"/>
          <w:szCs w:val="20"/>
        </w:rPr>
        <w:t>asumía la responsabilidad respectiva. ( lo resaltado es nuestro)</w:t>
      </w:r>
    </w:p>
    <w:p w:rsidR="005733F9" w:rsidRPr="00B615BC" w:rsidRDefault="005733F9" w:rsidP="00045EC6">
      <w:pPr>
        <w:pStyle w:val="Prrafodelista"/>
        <w:tabs>
          <w:tab w:val="num" w:pos="426"/>
        </w:tabs>
        <w:ind w:left="426" w:hanging="568"/>
        <w:rPr>
          <w:rFonts w:ascii="Tahoma" w:hAnsi="Tahoma" w:cs="Tahoma"/>
          <w:sz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Teniendo en cuenta las consideraciones expuestas, corresponde imponer sanción administrativa al Proveedor, al haber  incurrido en la causal de infracción tipificada en el numeral 10) del artículo 294 del Reglamento.</w:t>
      </w:r>
    </w:p>
    <w:p w:rsidR="005810F4" w:rsidRDefault="005810F4" w:rsidP="00045EC6">
      <w:pPr>
        <w:tabs>
          <w:tab w:val="num" w:pos="426"/>
        </w:tabs>
        <w:ind w:left="426" w:hanging="568"/>
        <w:jc w:val="both"/>
        <w:rPr>
          <w:rFonts w:ascii="Tahoma" w:hAnsi="Tahoma" w:cs="Tahoma"/>
          <w:b/>
          <w:bCs/>
          <w:sz w:val="20"/>
          <w:szCs w:val="20"/>
          <w:u w:val="single"/>
        </w:rPr>
      </w:pPr>
    </w:p>
    <w:p w:rsidR="005733F9" w:rsidRPr="00B615BC" w:rsidRDefault="005733F9" w:rsidP="00045EC6">
      <w:pPr>
        <w:tabs>
          <w:tab w:val="num" w:pos="426"/>
        </w:tabs>
        <w:ind w:left="426" w:hanging="568"/>
        <w:jc w:val="both"/>
        <w:rPr>
          <w:rFonts w:ascii="Tahoma" w:hAnsi="Tahoma" w:cs="Tahoma"/>
          <w:sz w:val="20"/>
          <w:szCs w:val="20"/>
        </w:rPr>
      </w:pPr>
      <w:r w:rsidRPr="00B615BC">
        <w:rPr>
          <w:rFonts w:ascii="Tahoma" w:hAnsi="Tahoma" w:cs="Tahoma"/>
          <w:b/>
          <w:bCs/>
          <w:sz w:val="20"/>
          <w:szCs w:val="20"/>
          <w:u w:val="single"/>
        </w:rPr>
        <w:lastRenderedPageBreak/>
        <w:t>Respecto de la Sanción imponible</w:t>
      </w:r>
      <w:r w:rsidRPr="00B615BC">
        <w:rPr>
          <w:rFonts w:ascii="Tahoma" w:hAnsi="Tahoma" w:cs="Tahoma"/>
          <w:sz w:val="20"/>
          <w:szCs w:val="20"/>
        </w:rPr>
        <w:t>.</w:t>
      </w:r>
    </w:p>
    <w:p w:rsidR="005733F9" w:rsidRPr="00B615BC" w:rsidRDefault="005733F9" w:rsidP="00045EC6">
      <w:pPr>
        <w:numPr>
          <w:ilvl w:val="0"/>
          <w:numId w:val="7"/>
        </w:numPr>
        <w:tabs>
          <w:tab w:val="clear" w:pos="900"/>
          <w:tab w:val="num" w:pos="426"/>
          <w:tab w:val="left" w:pos="1080"/>
        </w:tabs>
        <w:spacing w:after="0" w:line="240" w:lineRule="auto"/>
        <w:ind w:left="426" w:hanging="568"/>
        <w:jc w:val="both"/>
        <w:rPr>
          <w:rFonts w:ascii="Tahoma" w:hAnsi="Tahoma" w:cs="Tahoma"/>
          <w:sz w:val="20"/>
          <w:szCs w:val="20"/>
        </w:rPr>
      </w:pPr>
      <w:r w:rsidRPr="00B615BC">
        <w:rPr>
          <w:rFonts w:ascii="Tahoma" w:hAnsi="Tahoma" w:cs="Tahoma"/>
          <w:sz w:val="20"/>
          <w:szCs w:val="20"/>
        </w:rPr>
        <w:t>En relación a la graduación de la sanción imponible, el artículo 294 del Reglamento establece que los postores que presente documentos falsos o inexactos serán sancionados con inhabilitación temporal para contratar con el Estado por un periodo no menor de tres (3) meses ni mayor de doce (12) meses.</w:t>
      </w:r>
    </w:p>
    <w:p w:rsidR="0026239F" w:rsidRDefault="0026239F" w:rsidP="00045EC6">
      <w:pPr>
        <w:tabs>
          <w:tab w:val="num" w:pos="426"/>
          <w:tab w:val="left" w:pos="1080"/>
        </w:tabs>
        <w:spacing w:after="0" w:line="240" w:lineRule="auto"/>
        <w:ind w:left="426" w:hanging="568"/>
        <w:jc w:val="both"/>
        <w:rPr>
          <w:rFonts w:ascii="Tahoma" w:hAnsi="Tahoma" w:cs="Tahoma"/>
          <w:sz w:val="20"/>
          <w:szCs w:val="20"/>
        </w:rPr>
      </w:pPr>
    </w:p>
    <w:p w:rsidR="005733F9" w:rsidRPr="00B615BC" w:rsidRDefault="005733F9" w:rsidP="00045EC6">
      <w:pPr>
        <w:numPr>
          <w:ilvl w:val="0"/>
          <w:numId w:val="7"/>
        </w:numPr>
        <w:tabs>
          <w:tab w:val="clear" w:pos="900"/>
          <w:tab w:val="num" w:pos="426"/>
          <w:tab w:val="left" w:pos="1080"/>
        </w:tabs>
        <w:spacing w:after="0" w:line="240" w:lineRule="auto"/>
        <w:ind w:left="426" w:hanging="568"/>
        <w:jc w:val="both"/>
        <w:rPr>
          <w:rFonts w:ascii="Tahoma" w:hAnsi="Tahoma" w:cs="Tahoma"/>
          <w:sz w:val="20"/>
          <w:szCs w:val="20"/>
        </w:rPr>
      </w:pPr>
      <w:r w:rsidRPr="00B615BC">
        <w:rPr>
          <w:rFonts w:ascii="Tahoma" w:hAnsi="Tahoma" w:cs="Tahoma"/>
          <w:sz w:val="20"/>
          <w:szCs w:val="20"/>
        </w:rPr>
        <w:t xml:space="preserve"> 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 debiendo tenerse en cuenta, en el presente caso lo siguiente: </w:t>
      </w:r>
    </w:p>
    <w:p w:rsidR="00045EC6" w:rsidRDefault="00045EC6" w:rsidP="005810F4">
      <w:pPr>
        <w:pStyle w:val="Prrafodelista1"/>
        <w:tabs>
          <w:tab w:val="num" w:pos="1418"/>
        </w:tabs>
        <w:ind w:left="1418" w:hanging="567"/>
        <w:jc w:val="both"/>
        <w:rPr>
          <w:rFonts w:ascii="Tahoma" w:hAnsi="Tahoma" w:cs="Tahoma"/>
          <w:sz w:val="20"/>
          <w:szCs w:val="20"/>
        </w:rPr>
      </w:pPr>
    </w:p>
    <w:p w:rsidR="005733F9" w:rsidRPr="00B615BC" w:rsidRDefault="005733F9" w:rsidP="005810F4">
      <w:pPr>
        <w:pStyle w:val="Prrafodelista1"/>
        <w:numPr>
          <w:ilvl w:val="0"/>
          <w:numId w:val="8"/>
        </w:numPr>
        <w:tabs>
          <w:tab w:val="num" w:pos="1418"/>
        </w:tabs>
        <w:ind w:left="1418" w:hanging="567"/>
        <w:jc w:val="both"/>
        <w:rPr>
          <w:rFonts w:ascii="Tahoma" w:hAnsi="Tahoma" w:cs="Tahoma"/>
          <w:sz w:val="20"/>
          <w:szCs w:val="20"/>
        </w:rPr>
      </w:pPr>
      <w:r w:rsidRPr="00B615BC">
        <w:rPr>
          <w:rFonts w:ascii="Tahoma" w:hAnsi="Tahoma" w:cs="Tahoma"/>
          <w:sz w:val="20"/>
          <w:szCs w:val="20"/>
        </w:rPr>
        <w:t xml:space="preserve">La infracción cometida reviste una considerable gravedad, debido a que vulnera el </w:t>
      </w:r>
      <w:r w:rsidRPr="00B615BC">
        <w:rPr>
          <w:rFonts w:ascii="Tahoma" w:hAnsi="Tahoma" w:cs="Tahoma"/>
          <w:i/>
          <w:iCs/>
          <w:sz w:val="20"/>
          <w:szCs w:val="20"/>
        </w:rPr>
        <w:t xml:space="preserve">Principio de Moralidad </w:t>
      </w:r>
      <w:r w:rsidRPr="00B615BC">
        <w:rPr>
          <w:rFonts w:ascii="Tahoma" w:hAnsi="Tahoma" w:cs="Tahoma"/>
          <w:sz w:val="20"/>
          <w:szCs w:val="20"/>
        </w:rPr>
        <w:t xml:space="preserve">que debe regir a todos los actos vinculados a las contrataciones públicas. Por lo demás, dicho principio, junto a la </w:t>
      </w:r>
      <w:r w:rsidRPr="00B615BC">
        <w:rPr>
          <w:rFonts w:ascii="Tahoma" w:hAnsi="Tahoma" w:cs="Tahoma"/>
          <w:i/>
          <w:iCs/>
          <w:sz w:val="20"/>
          <w:szCs w:val="20"/>
        </w:rPr>
        <w:t>fe pública</w:t>
      </w:r>
      <w:r w:rsidRPr="00B615BC">
        <w:rPr>
          <w:rFonts w:ascii="Tahoma" w:hAnsi="Tahoma" w:cs="Tahoma"/>
          <w:sz w:val="20"/>
          <w:szCs w:val="20"/>
        </w:rPr>
        <w:t>, constituyen bienes jurídicos merecedores de protección especial, pues constituyen los pilares de las relaciones suscitadas entre la Administración Pública y los administrados.</w:t>
      </w:r>
    </w:p>
    <w:p w:rsidR="005733F9" w:rsidRPr="00B615BC" w:rsidRDefault="005733F9" w:rsidP="005810F4">
      <w:pPr>
        <w:pStyle w:val="Prrafodelista1"/>
        <w:tabs>
          <w:tab w:val="num" w:pos="1418"/>
        </w:tabs>
        <w:ind w:left="1418" w:hanging="567"/>
        <w:rPr>
          <w:rFonts w:ascii="Tahoma" w:hAnsi="Tahoma" w:cs="Tahoma"/>
          <w:sz w:val="20"/>
          <w:szCs w:val="20"/>
        </w:rPr>
      </w:pPr>
    </w:p>
    <w:p w:rsidR="005733F9" w:rsidRPr="00B615BC" w:rsidRDefault="005733F9" w:rsidP="005810F4">
      <w:pPr>
        <w:pStyle w:val="Prrafodelista1"/>
        <w:numPr>
          <w:ilvl w:val="0"/>
          <w:numId w:val="8"/>
        </w:numPr>
        <w:tabs>
          <w:tab w:val="num" w:pos="1418"/>
        </w:tabs>
        <w:ind w:left="1418" w:hanging="567"/>
        <w:jc w:val="both"/>
        <w:rPr>
          <w:rFonts w:ascii="Tahoma" w:hAnsi="Tahoma" w:cs="Tahoma"/>
          <w:sz w:val="20"/>
          <w:szCs w:val="20"/>
        </w:rPr>
      </w:pPr>
      <w:r w:rsidRPr="00B615BC">
        <w:rPr>
          <w:rFonts w:ascii="Tahoma" w:hAnsi="Tahoma" w:cs="Tahoma"/>
          <w:sz w:val="20"/>
          <w:szCs w:val="20"/>
        </w:rPr>
        <w:t xml:space="preserve">La falsedad del mencionado documento presentado por el Proveedor en su  trámite de renovación de inscripción en el capítulo de Bienes y Servicios ante el Registro Nacional de Proveedores, ha  sido fehacientemente </w:t>
      </w:r>
      <w:r w:rsidRPr="00B615BC">
        <w:rPr>
          <w:rFonts w:ascii="Tahoma" w:hAnsi="Tahoma" w:cs="Tahoma"/>
          <w:color w:val="000000"/>
          <w:sz w:val="20"/>
          <w:szCs w:val="20"/>
        </w:rPr>
        <w:t>acreditada por la Entidad y por este Colegiado.</w:t>
      </w:r>
    </w:p>
    <w:p w:rsidR="005733F9" w:rsidRPr="00B615BC" w:rsidRDefault="005733F9" w:rsidP="005810F4">
      <w:pPr>
        <w:pStyle w:val="Prrafodelista1"/>
        <w:tabs>
          <w:tab w:val="num" w:pos="1418"/>
        </w:tabs>
        <w:ind w:left="1418" w:hanging="567"/>
        <w:rPr>
          <w:rFonts w:ascii="Tahoma" w:hAnsi="Tahoma" w:cs="Tahoma"/>
          <w:sz w:val="20"/>
          <w:szCs w:val="20"/>
        </w:rPr>
      </w:pPr>
    </w:p>
    <w:p w:rsidR="005733F9" w:rsidRPr="00B615BC" w:rsidRDefault="005733F9" w:rsidP="005810F4">
      <w:pPr>
        <w:pStyle w:val="Prrafodelista1"/>
        <w:numPr>
          <w:ilvl w:val="0"/>
          <w:numId w:val="8"/>
        </w:numPr>
        <w:tabs>
          <w:tab w:val="num" w:pos="1418"/>
        </w:tabs>
        <w:ind w:left="1418" w:hanging="567"/>
        <w:jc w:val="both"/>
        <w:rPr>
          <w:rFonts w:ascii="Tahoma" w:hAnsi="Tahoma" w:cs="Tahoma"/>
          <w:sz w:val="20"/>
          <w:szCs w:val="20"/>
        </w:rPr>
      </w:pPr>
      <w:r w:rsidRPr="00B615BC">
        <w:rPr>
          <w:rFonts w:ascii="Tahoma" w:hAnsi="Tahoma" w:cs="Tahoma"/>
          <w:sz w:val="20"/>
          <w:szCs w:val="20"/>
        </w:rPr>
        <w:t>Así, también debe evaluarse la conducta adoptada por el Proveedor a lo largo del procedimiento, quién  ha presentado sus descargos, habiendo reconocido la infracción denunciada.</w:t>
      </w:r>
    </w:p>
    <w:p w:rsidR="005733F9" w:rsidRPr="00B615BC" w:rsidRDefault="005733F9" w:rsidP="005810F4">
      <w:pPr>
        <w:pStyle w:val="Prrafodelista1"/>
        <w:tabs>
          <w:tab w:val="num" w:pos="1418"/>
        </w:tabs>
        <w:ind w:left="1418" w:hanging="567"/>
        <w:rPr>
          <w:rFonts w:ascii="Tahoma" w:hAnsi="Tahoma" w:cs="Tahoma"/>
          <w:sz w:val="20"/>
          <w:szCs w:val="20"/>
        </w:rPr>
      </w:pPr>
    </w:p>
    <w:p w:rsidR="005733F9" w:rsidRPr="00B615BC" w:rsidRDefault="005733F9" w:rsidP="005810F4">
      <w:pPr>
        <w:pStyle w:val="Prrafodelista1"/>
        <w:numPr>
          <w:ilvl w:val="0"/>
          <w:numId w:val="8"/>
        </w:numPr>
        <w:tabs>
          <w:tab w:val="num" w:pos="1418"/>
        </w:tabs>
        <w:ind w:left="1418" w:hanging="567"/>
        <w:jc w:val="both"/>
        <w:rPr>
          <w:rFonts w:ascii="Tahoma" w:hAnsi="Tahoma" w:cs="Tahoma"/>
          <w:sz w:val="20"/>
          <w:szCs w:val="20"/>
        </w:rPr>
      </w:pPr>
      <w:r w:rsidRPr="00B615BC">
        <w:rPr>
          <w:rFonts w:ascii="Tahoma" w:hAnsi="Tahoma" w:cs="Tahoma"/>
          <w:sz w:val="20"/>
          <w:szCs w:val="20"/>
        </w:rPr>
        <w:t>Sin perjuicio de lo anterior, en lo que concierne a las condiciones del infractor, es importante indicar que el Proveedor no cuenta con antecedentes en la comisión de infracciones previstas en el Reglamento, lo cual será tomado en consideración por esta Sala como criterio atenuante de la sanción a imponerse.</w:t>
      </w:r>
    </w:p>
    <w:p w:rsidR="00045EC6" w:rsidRDefault="00045EC6" w:rsidP="00045EC6">
      <w:pPr>
        <w:tabs>
          <w:tab w:val="num" w:pos="426"/>
        </w:tabs>
        <w:spacing w:after="0" w:line="240" w:lineRule="auto"/>
        <w:ind w:left="426" w:hanging="568"/>
        <w:jc w:val="both"/>
        <w:rPr>
          <w:rFonts w:ascii="Tahoma" w:hAnsi="Tahoma" w:cs="Tahoma"/>
          <w:sz w:val="20"/>
          <w:szCs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 xml:space="preserve"> Asimismo, </w:t>
      </w:r>
      <w:r w:rsidRPr="00B615BC">
        <w:rPr>
          <w:rFonts w:ascii="Tahoma" w:hAnsi="Tahoma" w:cs="Tahoma"/>
          <w:color w:val="000000"/>
          <w:sz w:val="20"/>
          <w:szCs w:val="20"/>
        </w:rPr>
        <w:t xml:space="preserve">resulta importante traer a colación el </w:t>
      </w:r>
      <w:r w:rsidRPr="00B615BC">
        <w:rPr>
          <w:rFonts w:ascii="Tahoma" w:hAnsi="Tahoma" w:cs="Tahoma"/>
          <w:i/>
          <w:iCs/>
          <w:color w:val="000000"/>
          <w:sz w:val="20"/>
          <w:szCs w:val="20"/>
        </w:rPr>
        <w:t>Principio de Razonabilidad</w:t>
      </w:r>
      <w:r w:rsidRPr="00B615BC">
        <w:rPr>
          <w:rFonts w:ascii="Tahoma" w:hAnsi="Tahoma" w:cs="Tahoma"/>
          <w:color w:val="000000"/>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la debida proporción entre los medios a emplear y los fines públicos que deba tutelar, a fin de que respondan a lo estrictamente necesario para la satisfacción de su cometido.</w:t>
      </w:r>
    </w:p>
    <w:p w:rsidR="00045EC6" w:rsidRDefault="00045EC6" w:rsidP="00045EC6">
      <w:pPr>
        <w:tabs>
          <w:tab w:val="num" w:pos="426"/>
        </w:tabs>
        <w:spacing w:after="0" w:line="240" w:lineRule="auto"/>
        <w:ind w:left="426" w:hanging="568"/>
        <w:jc w:val="both"/>
        <w:rPr>
          <w:rFonts w:ascii="Tahoma" w:hAnsi="Tahoma" w:cs="Tahoma"/>
          <w:sz w:val="20"/>
          <w:szCs w:val="20"/>
        </w:rPr>
      </w:pPr>
    </w:p>
    <w:p w:rsidR="005733F9" w:rsidRPr="00B615BC" w:rsidRDefault="005733F9" w:rsidP="00045EC6">
      <w:pPr>
        <w:numPr>
          <w:ilvl w:val="0"/>
          <w:numId w:val="7"/>
        </w:numPr>
        <w:tabs>
          <w:tab w:val="clear" w:pos="900"/>
          <w:tab w:val="num" w:pos="426"/>
        </w:tabs>
        <w:spacing w:after="0" w:line="240" w:lineRule="auto"/>
        <w:ind w:left="426" w:hanging="568"/>
        <w:jc w:val="both"/>
        <w:rPr>
          <w:rFonts w:ascii="Tahoma" w:hAnsi="Tahoma" w:cs="Tahoma"/>
          <w:sz w:val="20"/>
          <w:szCs w:val="20"/>
        </w:rPr>
      </w:pPr>
      <w:r w:rsidRPr="00B615BC">
        <w:rPr>
          <w:rFonts w:ascii="Tahoma" w:hAnsi="Tahoma" w:cs="Tahoma"/>
          <w:sz w:val="20"/>
          <w:szCs w:val="20"/>
        </w:rPr>
        <w:t>Consecuentemente, en virtud a los criterios expuestos, este Colegiado considera que corresponde imponer al contratista una sanción equivalente a nueve (09) meses de inhabilitación temporal para participar en procesos de selección y para contratar con el Estado.</w:t>
      </w:r>
    </w:p>
    <w:p w:rsidR="005733F9" w:rsidRPr="00B615BC" w:rsidRDefault="005733F9" w:rsidP="005733F9">
      <w:pPr>
        <w:spacing w:after="0" w:line="240" w:lineRule="auto"/>
        <w:ind w:firstLine="567"/>
        <w:jc w:val="both"/>
        <w:rPr>
          <w:rFonts w:ascii="Tahoma" w:hAnsi="Tahoma" w:cs="Tahoma"/>
          <w:sz w:val="20"/>
          <w:szCs w:val="20"/>
          <w:lang w:val="es-ES_tradnl"/>
        </w:rPr>
      </w:pPr>
    </w:p>
    <w:p w:rsidR="005733F9" w:rsidRPr="00B615BC" w:rsidRDefault="005733F9" w:rsidP="005810F4">
      <w:pPr>
        <w:spacing w:after="0" w:line="240" w:lineRule="auto"/>
        <w:ind w:left="-284" w:firstLine="360"/>
        <w:jc w:val="both"/>
        <w:rPr>
          <w:rFonts w:ascii="Tahoma" w:hAnsi="Tahoma" w:cs="Tahoma"/>
          <w:sz w:val="20"/>
          <w:szCs w:val="20"/>
        </w:rPr>
      </w:pPr>
      <w:r w:rsidRPr="00B615BC">
        <w:rPr>
          <w:rFonts w:ascii="Tahoma" w:hAnsi="Tahoma" w:cs="Tahoma"/>
          <w:sz w:val="20"/>
          <w:szCs w:val="20"/>
        </w:rPr>
        <w:t xml:space="preserve">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w:t>
      </w:r>
      <w:r w:rsidRPr="00B615BC">
        <w:rPr>
          <w:rFonts w:ascii="Tahoma" w:hAnsi="Tahoma" w:cs="Tahoma"/>
          <w:sz w:val="20"/>
          <w:szCs w:val="20"/>
        </w:rPr>
        <w:lastRenderedPageBreak/>
        <w:t>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5733F9" w:rsidRPr="00B615BC" w:rsidRDefault="005733F9" w:rsidP="005733F9">
      <w:pPr>
        <w:spacing w:after="0" w:line="240" w:lineRule="auto"/>
        <w:jc w:val="both"/>
        <w:rPr>
          <w:rFonts w:ascii="Tahoma" w:hAnsi="Tahoma" w:cs="Tahoma"/>
          <w:sz w:val="20"/>
          <w:szCs w:val="20"/>
        </w:rPr>
      </w:pPr>
    </w:p>
    <w:p w:rsidR="005733F9" w:rsidRPr="00B615BC" w:rsidRDefault="005733F9" w:rsidP="005733F9">
      <w:pPr>
        <w:spacing w:after="0" w:line="240" w:lineRule="auto"/>
        <w:ind w:right="-315"/>
        <w:jc w:val="both"/>
        <w:rPr>
          <w:rFonts w:ascii="Tahoma" w:hAnsi="Tahoma" w:cs="Tahoma"/>
          <w:b/>
          <w:sz w:val="20"/>
          <w:szCs w:val="20"/>
        </w:rPr>
      </w:pPr>
      <w:r w:rsidRPr="00B615BC">
        <w:rPr>
          <w:rFonts w:ascii="Tahoma" w:hAnsi="Tahoma" w:cs="Tahoma"/>
          <w:b/>
          <w:sz w:val="20"/>
          <w:szCs w:val="20"/>
        </w:rPr>
        <w:t>LA SALA RESUELVE:</w:t>
      </w:r>
    </w:p>
    <w:p w:rsidR="005733F9" w:rsidRPr="00B615BC" w:rsidRDefault="005733F9" w:rsidP="005733F9">
      <w:pPr>
        <w:widowControl w:val="0"/>
        <w:suppressAutoHyphens/>
        <w:spacing w:after="0" w:line="240" w:lineRule="auto"/>
        <w:ind w:left="567"/>
        <w:jc w:val="both"/>
        <w:rPr>
          <w:rFonts w:ascii="Tahoma" w:hAnsi="Tahoma" w:cs="Tahoma"/>
          <w:sz w:val="20"/>
          <w:szCs w:val="20"/>
        </w:rPr>
      </w:pPr>
    </w:p>
    <w:p w:rsidR="005733F9" w:rsidRPr="00B615BC" w:rsidRDefault="005733F9" w:rsidP="00B615BC">
      <w:pPr>
        <w:spacing w:line="240" w:lineRule="auto"/>
        <w:ind w:left="720" w:hanging="295"/>
        <w:jc w:val="both"/>
        <w:rPr>
          <w:rFonts w:ascii="Tahoma" w:hAnsi="Tahoma" w:cs="Tahoma"/>
          <w:sz w:val="20"/>
          <w:szCs w:val="20"/>
        </w:rPr>
      </w:pPr>
      <w:r w:rsidRPr="00B615BC">
        <w:rPr>
          <w:rFonts w:ascii="Tahoma" w:hAnsi="Tahoma" w:cs="Tahoma"/>
          <w:b/>
          <w:bCs/>
          <w:sz w:val="20"/>
          <w:szCs w:val="20"/>
        </w:rPr>
        <w:t>1.</w:t>
      </w:r>
      <w:r w:rsidRPr="00B615BC">
        <w:rPr>
          <w:rFonts w:ascii="Tahoma" w:hAnsi="Tahoma" w:cs="Tahoma"/>
          <w:sz w:val="20"/>
          <w:szCs w:val="20"/>
        </w:rPr>
        <w:t xml:space="preserve">- SANCIONAR a la empresa </w:t>
      </w:r>
      <w:r w:rsidRPr="00B615BC">
        <w:rPr>
          <w:rFonts w:ascii="Tahoma" w:hAnsi="Tahoma" w:cs="Tahoma"/>
          <w:b/>
          <w:bCs/>
          <w:sz w:val="20"/>
          <w:szCs w:val="20"/>
        </w:rPr>
        <w:t>CONCRETOS Y GEOTECNIA E.I.R.L.</w:t>
      </w:r>
      <w:r w:rsidRPr="00B615BC">
        <w:rPr>
          <w:rFonts w:ascii="Tahoma" w:hAnsi="Tahoma" w:cs="Tahoma"/>
          <w:sz w:val="20"/>
          <w:szCs w:val="20"/>
          <w:lang w:val="es-PE"/>
        </w:rPr>
        <w:t xml:space="preserve"> </w:t>
      </w:r>
      <w:r w:rsidRPr="00B615BC">
        <w:rPr>
          <w:rFonts w:ascii="Tahoma" w:hAnsi="Tahoma" w:cs="Tahoma"/>
          <w:sz w:val="20"/>
          <w:szCs w:val="20"/>
        </w:rPr>
        <w:t>con  nueve (09) meses de inhabilitación temporal para participar en procesos de selección y contratar con el Estado, sanción que entrará en vigencia a partir del sexto día hábil siguiente de notificada la presente resolución.</w:t>
      </w:r>
    </w:p>
    <w:p w:rsidR="005733F9" w:rsidRPr="00B615BC" w:rsidRDefault="005733F9" w:rsidP="00B615BC">
      <w:pPr>
        <w:spacing w:line="240" w:lineRule="auto"/>
        <w:ind w:left="720" w:hanging="295"/>
        <w:jc w:val="both"/>
        <w:rPr>
          <w:rFonts w:ascii="Tahoma" w:hAnsi="Tahoma" w:cs="Tahoma"/>
          <w:sz w:val="20"/>
          <w:szCs w:val="20"/>
        </w:rPr>
      </w:pPr>
      <w:r w:rsidRPr="00B615BC">
        <w:rPr>
          <w:rFonts w:ascii="Tahoma" w:hAnsi="Tahoma" w:cs="Tahoma"/>
          <w:b/>
          <w:bCs/>
          <w:sz w:val="20"/>
          <w:szCs w:val="20"/>
        </w:rPr>
        <w:t>2.</w:t>
      </w:r>
      <w:r w:rsidRPr="00B615BC">
        <w:rPr>
          <w:rFonts w:ascii="Tahoma" w:hAnsi="Tahoma" w:cs="Tahoma"/>
          <w:sz w:val="20"/>
          <w:szCs w:val="20"/>
        </w:rPr>
        <w:t>- Poner la presente Resolución en conocimiento de la Subdirección del Registro Nacional de Proveedores del Organismo Supervisor de las Contrataciones del Estado (OSCE), para las anotaciones de ley.</w:t>
      </w:r>
    </w:p>
    <w:p w:rsidR="005733F9" w:rsidRPr="00B615BC" w:rsidRDefault="005733F9" w:rsidP="005733F9">
      <w:pPr>
        <w:pStyle w:val="Ttulo3"/>
        <w:spacing w:line="240" w:lineRule="auto"/>
        <w:jc w:val="both"/>
        <w:rPr>
          <w:rFonts w:ascii="Tahoma" w:hAnsi="Tahoma" w:cs="Tahoma"/>
          <w:b w:val="0"/>
          <w:bCs w:val="0"/>
          <w:sz w:val="20"/>
          <w:szCs w:val="20"/>
        </w:rPr>
      </w:pPr>
      <w:r w:rsidRPr="00B615BC">
        <w:rPr>
          <w:rFonts w:ascii="Tahoma" w:hAnsi="Tahoma" w:cs="Tahoma"/>
          <w:b w:val="0"/>
          <w:sz w:val="20"/>
          <w:szCs w:val="20"/>
        </w:rPr>
        <w:t>Regístrese, comuníquese y publíquese.</w:t>
      </w:r>
    </w:p>
    <w:p w:rsidR="005733F9" w:rsidRPr="00B615BC" w:rsidRDefault="005733F9" w:rsidP="005733F9">
      <w:pPr>
        <w:spacing w:after="0" w:line="240" w:lineRule="auto"/>
        <w:jc w:val="both"/>
        <w:rPr>
          <w:rFonts w:ascii="Tahoma" w:hAnsi="Tahoma" w:cs="Tahoma"/>
          <w:b/>
          <w:shadow/>
          <w:sz w:val="20"/>
          <w:szCs w:val="20"/>
        </w:rPr>
      </w:pPr>
    </w:p>
    <w:p w:rsidR="005733F9" w:rsidRPr="00B615BC" w:rsidRDefault="005733F9" w:rsidP="005733F9">
      <w:pPr>
        <w:spacing w:after="0" w:line="240" w:lineRule="auto"/>
        <w:jc w:val="both"/>
        <w:rPr>
          <w:rFonts w:ascii="Tahoma" w:hAnsi="Tahoma" w:cs="Tahoma"/>
          <w:b/>
          <w:shadow/>
          <w:sz w:val="20"/>
          <w:szCs w:val="20"/>
        </w:rPr>
      </w:pPr>
    </w:p>
    <w:p w:rsidR="005733F9" w:rsidRPr="00B615BC" w:rsidRDefault="005733F9" w:rsidP="005733F9">
      <w:pPr>
        <w:spacing w:after="0" w:line="240" w:lineRule="auto"/>
        <w:jc w:val="both"/>
        <w:rPr>
          <w:rFonts w:ascii="Tahoma" w:hAnsi="Tahoma" w:cs="Tahoma"/>
          <w:b/>
          <w:shadow/>
          <w:sz w:val="20"/>
          <w:szCs w:val="20"/>
        </w:rPr>
      </w:pPr>
    </w:p>
    <w:p w:rsidR="005733F9" w:rsidRPr="00B615BC" w:rsidRDefault="005733F9" w:rsidP="005733F9">
      <w:pPr>
        <w:spacing w:after="0" w:line="240" w:lineRule="auto"/>
        <w:jc w:val="both"/>
        <w:rPr>
          <w:rFonts w:ascii="Tahoma" w:hAnsi="Tahoma" w:cs="Tahoma"/>
          <w:b/>
          <w:shadow/>
          <w:sz w:val="20"/>
          <w:szCs w:val="20"/>
        </w:rPr>
      </w:pPr>
    </w:p>
    <w:p w:rsidR="005733F9" w:rsidRPr="00B615BC" w:rsidRDefault="005733F9" w:rsidP="005733F9">
      <w:pPr>
        <w:spacing w:after="0" w:line="240" w:lineRule="auto"/>
        <w:jc w:val="both"/>
        <w:rPr>
          <w:rFonts w:ascii="Tahoma" w:hAnsi="Tahoma" w:cs="Tahoma"/>
          <w:b/>
          <w:shadow/>
          <w:sz w:val="20"/>
          <w:szCs w:val="20"/>
        </w:rPr>
      </w:pPr>
    </w:p>
    <w:p w:rsidR="005733F9" w:rsidRPr="00B615BC" w:rsidRDefault="005733F9" w:rsidP="005733F9">
      <w:pPr>
        <w:spacing w:after="0" w:line="240" w:lineRule="auto"/>
        <w:ind w:left="2832" w:firstLine="708"/>
        <w:jc w:val="both"/>
        <w:rPr>
          <w:rFonts w:ascii="Tahoma" w:hAnsi="Tahoma" w:cs="Tahoma"/>
          <w:b/>
          <w:shadow/>
          <w:sz w:val="20"/>
          <w:szCs w:val="20"/>
        </w:rPr>
      </w:pPr>
      <w:r w:rsidRPr="00B615BC">
        <w:rPr>
          <w:rFonts w:ascii="Tahoma" w:hAnsi="Tahoma" w:cs="Tahoma"/>
          <w:b/>
          <w:shadow/>
          <w:sz w:val="20"/>
          <w:szCs w:val="20"/>
        </w:rPr>
        <w:t>PRESIDENTE</w:t>
      </w:r>
    </w:p>
    <w:p w:rsidR="005733F9" w:rsidRPr="00B615BC" w:rsidRDefault="005733F9" w:rsidP="005733F9">
      <w:pPr>
        <w:spacing w:after="0" w:line="240" w:lineRule="auto"/>
        <w:jc w:val="both"/>
        <w:rPr>
          <w:rFonts w:ascii="Tahoma" w:hAnsi="Tahoma" w:cs="Tahoma"/>
          <w:b/>
          <w:shadow/>
          <w:sz w:val="20"/>
          <w:szCs w:val="20"/>
        </w:rPr>
      </w:pPr>
    </w:p>
    <w:p w:rsidR="005733F9" w:rsidRPr="00B615BC" w:rsidRDefault="005733F9" w:rsidP="005733F9">
      <w:pPr>
        <w:spacing w:after="0" w:line="240" w:lineRule="auto"/>
        <w:jc w:val="both"/>
        <w:rPr>
          <w:rFonts w:ascii="Tahoma" w:hAnsi="Tahoma" w:cs="Tahoma"/>
          <w:b/>
          <w:shadow/>
          <w:sz w:val="20"/>
          <w:szCs w:val="20"/>
        </w:rPr>
      </w:pPr>
    </w:p>
    <w:p w:rsidR="005733F9" w:rsidRPr="00B615BC" w:rsidRDefault="005733F9" w:rsidP="005733F9">
      <w:pPr>
        <w:spacing w:after="0" w:line="240" w:lineRule="auto"/>
        <w:jc w:val="both"/>
        <w:rPr>
          <w:rFonts w:ascii="Tahoma" w:hAnsi="Tahoma" w:cs="Tahoma"/>
          <w:b/>
          <w:shadow/>
          <w:sz w:val="20"/>
          <w:szCs w:val="20"/>
        </w:rPr>
      </w:pPr>
    </w:p>
    <w:p w:rsidR="005733F9" w:rsidRPr="00B615BC" w:rsidRDefault="005733F9" w:rsidP="005733F9">
      <w:pPr>
        <w:spacing w:after="0" w:line="240" w:lineRule="auto"/>
        <w:jc w:val="both"/>
        <w:rPr>
          <w:rFonts w:ascii="Tahoma" w:hAnsi="Tahoma" w:cs="Tahoma"/>
          <w:b/>
          <w:shadow/>
          <w:sz w:val="20"/>
          <w:szCs w:val="20"/>
        </w:rPr>
      </w:pPr>
    </w:p>
    <w:p w:rsidR="005733F9" w:rsidRPr="00B615BC" w:rsidRDefault="005733F9" w:rsidP="005733F9">
      <w:pPr>
        <w:spacing w:after="0" w:line="240" w:lineRule="auto"/>
        <w:jc w:val="both"/>
        <w:rPr>
          <w:rFonts w:ascii="Tahoma" w:hAnsi="Tahoma" w:cs="Tahoma"/>
          <w:shadow/>
          <w:sz w:val="20"/>
          <w:szCs w:val="20"/>
        </w:rPr>
      </w:pPr>
      <w:r w:rsidRPr="00B615BC">
        <w:rPr>
          <w:rFonts w:ascii="Tahoma" w:hAnsi="Tahoma" w:cs="Tahoma"/>
          <w:b/>
          <w:shadow/>
          <w:sz w:val="20"/>
          <w:szCs w:val="20"/>
        </w:rPr>
        <w:t xml:space="preserve">                   VOCAL</w:t>
      </w:r>
      <w:r w:rsidRPr="00B615BC">
        <w:rPr>
          <w:rFonts w:ascii="Tahoma" w:hAnsi="Tahoma" w:cs="Tahoma"/>
          <w:b/>
          <w:shadow/>
          <w:sz w:val="20"/>
          <w:szCs w:val="20"/>
        </w:rPr>
        <w:tab/>
      </w:r>
      <w:r w:rsidRPr="00B615BC">
        <w:rPr>
          <w:rFonts w:ascii="Tahoma" w:hAnsi="Tahoma" w:cs="Tahoma"/>
          <w:b/>
          <w:shadow/>
          <w:sz w:val="20"/>
          <w:szCs w:val="20"/>
        </w:rPr>
        <w:tab/>
      </w:r>
      <w:r w:rsidRPr="00B615BC">
        <w:rPr>
          <w:rFonts w:ascii="Tahoma" w:hAnsi="Tahoma" w:cs="Tahoma"/>
          <w:b/>
          <w:shadow/>
          <w:sz w:val="20"/>
          <w:szCs w:val="20"/>
        </w:rPr>
        <w:tab/>
      </w:r>
      <w:r w:rsidRPr="00B615BC">
        <w:rPr>
          <w:rFonts w:ascii="Tahoma" w:hAnsi="Tahoma" w:cs="Tahoma"/>
          <w:b/>
          <w:shadow/>
          <w:sz w:val="20"/>
          <w:szCs w:val="20"/>
        </w:rPr>
        <w:tab/>
      </w:r>
      <w:r w:rsidRPr="00B615BC">
        <w:rPr>
          <w:rFonts w:ascii="Tahoma" w:hAnsi="Tahoma" w:cs="Tahoma"/>
          <w:b/>
          <w:shadow/>
          <w:sz w:val="20"/>
          <w:szCs w:val="20"/>
        </w:rPr>
        <w:tab/>
      </w:r>
      <w:r w:rsidRPr="00B615BC">
        <w:rPr>
          <w:rFonts w:ascii="Tahoma" w:hAnsi="Tahoma" w:cs="Tahoma"/>
          <w:b/>
          <w:shadow/>
          <w:sz w:val="20"/>
          <w:szCs w:val="20"/>
        </w:rPr>
        <w:tab/>
      </w:r>
      <w:r w:rsidRPr="00B615BC">
        <w:rPr>
          <w:rFonts w:ascii="Tahoma" w:hAnsi="Tahoma" w:cs="Tahoma"/>
          <w:b/>
          <w:shadow/>
          <w:sz w:val="20"/>
          <w:szCs w:val="20"/>
        </w:rPr>
        <w:tab/>
      </w:r>
      <w:r w:rsidRPr="00B615BC">
        <w:rPr>
          <w:rFonts w:ascii="Tahoma" w:hAnsi="Tahoma" w:cs="Tahoma"/>
          <w:b/>
          <w:shadow/>
          <w:sz w:val="20"/>
          <w:szCs w:val="20"/>
        </w:rPr>
        <w:tab/>
        <w:t xml:space="preserve">VOCAL                                                                 </w:t>
      </w:r>
    </w:p>
    <w:p w:rsidR="005733F9" w:rsidRPr="00B615BC" w:rsidRDefault="005733F9" w:rsidP="005733F9">
      <w:pPr>
        <w:spacing w:after="0" w:line="240" w:lineRule="auto"/>
        <w:jc w:val="both"/>
        <w:rPr>
          <w:rFonts w:ascii="Tahoma" w:hAnsi="Tahoma" w:cs="Tahoma"/>
          <w:sz w:val="20"/>
          <w:szCs w:val="20"/>
        </w:rPr>
      </w:pPr>
    </w:p>
    <w:p w:rsidR="005733F9" w:rsidRPr="00B615BC" w:rsidRDefault="005733F9" w:rsidP="005733F9">
      <w:pPr>
        <w:spacing w:after="0" w:line="240" w:lineRule="auto"/>
        <w:jc w:val="both"/>
        <w:rPr>
          <w:rFonts w:ascii="Tahoma" w:hAnsi="Tahoma" w:cs="Tahoma"/>
          <w:sz w:val="20"/>
          <w:szCs w:val="20"/>
        </w:rPr>
      </w:pPr>
    </w:p>
    <w:p w:rsidR="005733F9" w:rsidRPr="00B615BC" w:rsidRDefault="005733F9" w:rsidP="005733F9">
      <w:pPr>
        <w:spacing w:after="0" w:line="240" w:lineRule="auto"/>
        <w:jc w:val="both"/>
        <w:rPr>
          <w:rFonts w:ascii="Tahoma" w:hAnsi="Tahoma" w:cs="Tahoma"/>
          <w:sz w:val="20"/>
          <w:szCs w:val="20"/>
        </w:rPr>
      </w:pPr>
    </w:p>
    <w:p w:rsidR="005733F9" w:rsidRPr="00B615BC" w:rsidRDefault="005733F9" w:rsidP="005733F9">
      <w:pPr>
        <w:spacing w:after="0" w:line="240" w:lineRule="auto"/>
        <w:jc w:val="both"/>
        <w:rPr>
          <w:rFonts w:ascii="Tahoma" w:hAnsi="Tahoma" w:cs="Tahoma"/>
          <w:sz w:val="20"/>
          <w:szCs w:val="20"/>
        </w:rPr>
      </w:pPr>
    </w:p>
    <w:p w:rsidR="005733F9" w:rsidRPr="00B615BC" w:rsidRDefault="005733F9" w:rsidP="005733F9">
      <w:pPr>
        <w:spacing w:after="0" w:line="240" w:lineRule="auto"/>
        <w:jc w:val="both"/>
        <w:rPr>
          <w:rFonts w:ascii="Tahoma" w:hAnsi="Tahoma" w:cs="Tahoma"/>
          <w:sz w:val="20"/>
          <w:szCs w:val="20"/>
        </w:rPr>
      </w:pPr>
    </w:p>
    <w:p w:rsidR="005733F9" w:rsidRPr="00B615BC" w:rsidRDefault="005733F9" w:rsidP="005733F9">
      <w:pPr>
        <w:spacing w:after="0" w:line="240" w:lineRule="auto"/>
        <w:jc w:val="both"/>
        <w:rPr>
          <w:rFonts w:ascii="Tahoma" w:hAnsi="Tahoma" w:cs="Tahoma"/>
          <w:sz w:val="20"/>
          <w:szCs w:val="20"/>
        </w:rPr>
      </w:pPr>
    </w:p>
    <w:p w:rsidR="005733F9" w:rsidRPr="00B615BC" w:rsidRDefault="005733F9" w:rsidP="005733F9">
      <w:pPr>
        <w:spacing w:after="0" w:line="240" w:lineRule="auto"/>
        <w:jc w:val="both"/>
        <w:rPr>
          <w:rFonts w:ascii="Tahoma" w:hAnsi="Tahoma" w:cs="Tahoma"/>
          <w:sz w:val="20"/>
          <w:szCs w:val="20"/>
        </w:rPr>
      </w:pPr>
      <w:r w:rsidRPr="00B615BC">
        <w:rPr>
          <w:rFonts w:ascii="Tahoma" w:hAnsi="Tahoma" w:cs="Tahoma"/>
          <w:sz w:val="20"/>
          <w:szCs w:val="20"/>
        </w:rPr>
        <w:t>ss.</w:t>
      </w:r>
    </w:p>
    <w:p w:rsidR="005733F9" w:rsidRPr="00B615BC" w:rsidRDefault="005733F9" w:rsidP="005733F9">
      <w:pPr>
        <w:spacing w:after="0" w:line="240" w:lineRule="auto"/>
        <w:jc w:val="both"/>
        <w:rPr>
          <w:rFonts w:ascii="Tahoma" w:hAnsi="Tahoma" w:cs="Tahoma"/>
          <w:sz w:val="20"/>
          <w:szCs w:val="20"/>
        </w:rPr>
      </w:pPr>
      <w:r w:rsidRPr="00B615BC">
        <w:rPr>
          <w:rFonts w:ascii="Tahoma" w:hAnsi="Tahoma" w:cs="Tahoma"/>
          <w:sz w:val="20"/>
          <w:szCs w:val="20"/>
        </w:rPr>
        <w:t>Navas Rondón.</w:t>
      </w:r>
    </w:p>
    <w:p w:rsidR="005733F9" w:rsidRPr="00B615BC" w:rsidRDefault="005733F9" w:rsidP="005733F9">
      <w:pPr>
        <w:spacing w:after="0" w:line="240" w:lineRule="auto"/>
        <w:jc w:val="both"/>
        <w:rPr>
          <w:rFonts w:ascii="Tahoma" w:hAnsi="Tahoma" w:cs="Tahoma"/>
          <w:sz w:val="20"/>
          <w:szCs w:val="20"/>
        </w:rPr>
      </w:pPr>
      <w:r w:rsidRPr="00B615BC">
        <w:rPr>
          <w:rFonts w:ascii="Tahoma" w:hAnsi="Tahoma" w:cs="Tahoma"/>
          <w:sz w:val="20"/>
          <w:szCs w:val="20"/>
        </w:rPr>
        <w:t>Ramírez Maynetto.</w:t>
      </w:r>
    </w:p>
    <w:p w:rsidR="005733F9" w:rsidRPr="00B615BC" w:rsidRDefault="005733F9" w:rsidP="005733F9">
      <w:pPr>
        <w:spacing w:after="0" w:line="240" w:lineRule="auto"/>
        <w:jc w:val="both"/>
        <w:rPr>
          <w:rFonts w:ascii="Tahoma" w:hAnsi="Tahoma" w:cs="Tahoma"/>
          <w:sz w:val="20"/>
          <w:szCs w:val="20"/>
        </w:rPr>
      </w:pPr>
      <w:r w:rsidRPr="00B615BC">
        <w:rPr>
          <w:rFonts w:ascii="Tahoma" w:hAnsi="Tahoma" w:cs="Tahoma"/>
          <w:sz w:val="20"/>
          <w:szCs w:val="20"/>
        </w:rPr>
        <w:t xml:space="preserve">Basulto Liewald, </w:t>
      </w:r>
    </w:p>
    <w:p w:rsidR="00B615BC" w:rsidRPr="00B615BC" w:rsidRDefault="00B615BC">
      <w:pPr>
        <w:rPr>
          <w:rFonts w:ascii="Tahoma" w:hAnsi="Tahoma" w:cs="Tahoma"/>
          <w:sz w:val="20"/>
          <w:szCs w:val="20"/>
        </w:rPr>
      </w:pPr>
    </w:p>
    <w:sectPr w:rsidR="00B615BC" w:rsidRPr="00B615BC" w:rsidSect="008E505C">
      <w:headerReference w:type="default" r:id="rId7"/>
      <w:footerReference w:type="default" r:id="rId8"/>
      <w:pgSz w:w="11906" w:h="16838"/>
      <w:pgMar w:top="2836" w:right="1700" w:bottom="1418"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986" w:rsidRDefault="00E05986" w:rsidP="005733F9">
      <w:pPr>
        <w:spacing w:after="0" w:line="240" w:lineRule="auto"/>
      </w:pPr>
      <w:r>
        <w:separator/>
      </w:r>
    </w:p>
  </w:endnote>
  <w:endnote w:type="continuationSeparator" w:id="1">
    <w:p w:rsidR="00E05986" w:rsidRDefault="00E05986" w:rsidP="005733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7FC" w:rsidRPr="00FD5A0C" w:rsidRDefault="00D157FC">
    <w:pPr>
      <w:pStyle w:val="Piedepgina"/>
      <w:jc w:val="center"/>
      <w:rPr>
        <w:rFonts w:ascii="Tahoma" w:hAnsi="Tahoma" w:cs="Tahoma"/>
        <w:i/>
        <w:sz w:val="18"/>
        <w:szCs w:val="18"/>
      </w:rPr>
    </w:pPr>
    <w:r w:rsidRPr="00FD5A0C">
      <w:rPr>
        <w:rFonts w:ascii="Tahoma" w:hAnsi="Tahoma" w:cs="Tahoma"/>
        <w:i/>
        <w:sz w:val="18"/>
        <w:szCs w:val="18"/>
      </w:rPr>
      <w:t xml:space="preserve">Página </w:t>
    </w:r>
    <w:r w:rsidR="008A5E02" w:rsidRPr="00FD5A0C">
      <w:rPr>
        <w:rFonts w:ascii="Tahoma" w:hAnsi="Tahoma" w:cs="Tahoma"/>
        <w:i/>
        <w:sz w:val="18"/>
        <w:szCs w:val="18"/>
      </w:rPr>
      <w:fldChar w:fldCharType="begin"/>
    </w:r>
    <w:r w:rsidRPr="00FD5A0C">
      <w:rPr>
        <w:rFonts w:ascii="Tahoma" w:hAnsi="Tahoma" w:cs="Tahoma"/>
        <w:i/>
        <w:sz w:val="18"/>
        <w:szCs w:val="18"/>
      </w:rPr>
      <w:instrText>PAGE</w:instrText>
    </w:r>
    <w:r w:rsidR="008A5E02" w:rsidRPr="00FD5A0C">
      <w:rPr>
        <w:rFonts w:ascii="Tahoma" w:hAnsi="Tahoma" w:cs="Tahoma"/>
        <w:i/>
        <w:sz w:val="18"/>
        <w:szCs w:val="18"/>
      </w:rPr>
      <w:fldChar w:fldCharType="separate"/>
    </w:r>
    <w:r w:rsidR="00503963">
      <w:rPr>
        <w:rFonts w:ascii="Tahoma" w:hAnsi="Tahoma" w:cs="Tahoma"/>
        <w:i/>
        <w:noProof/>
        <w:sz w:val="18"/>
        <w:szCs w:val="18"/>
      </w:rPr>
      <w:t>1</w:t>
    </w:r>
    <w:r w:rsidR="008A5E02" w:rsidRPr="00FD5A0C">
      <w:rPr>
        <w:rFonts w:ascii="Tahoma" w:hAnsi="Tahoma" w:cs="Tahoma"/>
        <w:i/>
        <w:sz w:val="18"/>
        <w:szCs w:val="18"/>
      </w:rPr>
      <w:fldChar w:fldCharType="end"/>
    </w:r>
    <w:r w:rsidRPr="00FD5A0C">
      <w:rPr>
        <w:rFonts w:ascii="Tahoma" w:hAnsi="Tahoma" w:cs="Tahoma"/>
        <w:i/>
        <w:sz w:val="18"/>
        <w:szCs w:val="18"/>
      </w:rPr>
      <w:t xml:space="preserve"> de </w:t>
    </w:r>
    <w:r w:rsidR="008A5E02" w:rsidRPr="00FD5A0C">
      <w:rPr>
        <w:rFonts w:ascii="Tahoma" w:hAnsi="Tahoma" w:cs="Tahoma"/>
        <w:i/>
        <w:sz w:val="18"/>
        <w:szCs w:val="18"/>
      </w:rPr>
      <w:fldChar w:fldCharType="begin"/>
    </w:r>
    <w:r w:rsidRPr="00FD5A0C">
      <w:rPr>
        <w:rFonts w:ascii="Tahoma" w:hAnsi="Tahoma" w:cs="Tahoma"/>
        <w:i/>
        <w:sz w:val="18"/>
        <w:szCs w:val="18"/>
      </w:rPr>
      <w:instrText>NUMPAGES</w:instrText>
    </w:r>
    <w:r w:rsidR="008A5E02" w:rsidRPr="00FD5A0C">
      <w:rPr>
        <w:rFonts w:ascii="Tahoma" w:hAnsi="Tahoma" w:cs="Tahoma"/>
        <w:i/>
        <w:sz w:val="18"/>
        <w:szCs w:val="18"/>
      </w:rPr>
      <w:fldChar w:fldCharType="separate"/>
    </w:r>
    <w:r w:rsidR="00503963">
      <w:rPr>
        <w:rFonts w:ascii="Tahoma" w:hAnsi="Tahoma" w:cs="Tahoma"/>
        <w:i/>
        <w:noProof/>
        <w:sz w:val="18"/>
        <w:szCs w:val="18"/>
      </w:rPr>
      <w:t>7</w:t>
    </w:r>
    <w:r w:rsidR="008A5E02" w:rsidRPr="00FD5A0C">
      <w:rPr>
        <w:rFonts w:ascii="Tahoma" w:hAnsi="Tahoma" w:cs="Tahoma"/>
        <w:i/>
        <w:sz w:val="18"/>
        <w:szCs w:val="18"/>
      </w:rPr>
      <w:fldChar w:fldCharType="end"/>
    </w:r>
  </w:p>
  <w:p w:rsidR="00D157FC" w:rsidRDefault="00D157F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986" w:rsidRDefault="00E05986" w:rsidP="005733F9">
      <w:pPr>
        <w:spacing w:after="0" w:line="240" w:lineRule="auto"/>
      </w:pPr>
      <w:r>
        <w:separator/>
      </w:r>
    </w:p>
  </w:footnote>
  <w:footnote w:type="continuationSeparator" w:id="1">
    <w:p w:rsidR="00E05986" w:rsidRDefault="00E05986" w:rsidP="005733F9">
      <w:pPr>
        <w:spacing w:after="0" w:line="240" w:lineRule="auto"/>
      </w:pPr>
      <w:r>
        <w:continuationSeparator/>
      </w:r>
    </w:p>
  </w:footnote>
  <w:footnote w:id="2">
    <w:p w:rsidR="00D157FC" w:rsidRPr="008E505C" w:rsidRDefault="00D157FC" w:rsidP="005733F9">
      <w:pPr>
        <w:pStyle w:val="Textonotapie"/>
        <w:rPr>
          <w:sz w:val="16"/>
          <w:szCs w:val="16"/>
        </w:rPr>
      </w:pPr>
      <w:r w:rsidRPr="009F1F66">
        <w:rPr>
          <w:rStyle w:val="Refdenotaalpie"/>
          <w:sz w:val="18"/>
          <w:szCs w:val="18"/>
        </w:rPr>
        <w:footnoteRef/>
      </w:r>
      <w:r w:rsidRPr="009F1F66">
        <w:rPr>
          <w:sz w:val="18"/>
          <w:szCs w:val="18"/>
        </w:rPr>
        <w:t xml:space="preserve"> </w:t>
      </w:r>
      <w:r w:rsidRPr="008E505C">
        <w:rPr>
          <w:sz w:val="16"/>
          <w:szCs w:val="16"/>
        </w:rPr>
        <w:t>“</w:t>
      </w:r>
      <w:r w:rsidRPr="008E505C">
        <w:rPr>
          <w:b/>
          <w:bCs/>
          <w:sz w:val="16"/>
          <w:szCs w:val="16"/>
        </w:rPr>
        <w:t>Artículo 294.- Causales de aplicación de sanción a los proveedores, participantes postores y contratistas.-</w:t>
      </w:r>
      <w:r w:rsidRPr="008E505C">
        <w:rPr>
          <w:sz w:val="16"/>
          <w:szCs w:val="16"/>
        </w:rPr>
        <w:t xml:space="preserve"> El Tribunal impondrá sanción administrativa de suspensión o inhabilitación temporal o definitiva a los proveedores, participantes postores y/o contratistas que:</w:t>
      </w:r>
    </w:p>
    <w:p w:rsidR="00D157FC" w:rsidRPr="008E505C" w:rsidRDefault="00D157FC" w:rsidP="005733F9">
      <w:pPr>
        <w:pStyle w:val="Textonotapie"/>
        <w:rPr>
          <w:sz w:val="16"/>
          <w:szCs w:val="16"/>
        </w:rPr>
      </w:pPr>
      <w:r w:rsidRPr="008E505C">
        <w:rPr>
          <w:sz w:val="16"/>
          <w:szCs w:val="16"/>
        </w:rPr>
        <w:t xml:space="preserve">(…) </w:t>
      </w:r>
    </w:p>
    <w:p w:rsidR="00D157FC" w:rsidRPr="008E505C" w:rsidRDefault="00D157FC" w:rsidP="005733F9">
      <w:pPr>
        <w:pStyle w:val="Textonotapie"/>
        <w:rPr>
          <w:sz w:val="16"/>
          <w:szCs w:val="16"/>
        </w:rPr>
      </w:pPr>
      <w:r w:rsidRPr="008E505C">
        <w:rPr>
          <w:sz w:val="16"/>
          <w:szCs w:val="16"/>
        </w:rPr>
        <w:t>10) Presenten documentos falsos o con información inexacta en los procedimientos seguidos ante el Registro Nacional de proveedores;</w:t>
      </w:r>
    </w:p>
    <w:p w:rsidR="00D157FC" w:rsidRPr="008E505C" w:rsidRDefault="00D157FC" w:rsidP="005733F9">
      <w:pPr>
        <w:pStyle w:val="Textonotapie"/>
        <w:rPr>
          <w:sz w:val="16"/>
          <w:szCs w:val="16"/>
        </w:rPr>
      </w:pPr>
      <w:r>
        <w:rPr>
          <w:sz w:val="16"/>
          <w:szCs w:val="16"/>
        </w:rPr>
        <w:t>(…)”.</w:t>
      </w:r>
    </w:p>
  </w:footnote>
  <w:footnote w:id="3">
    <w:p w:rsidR="00D157FC" w:rsidRPr="008E505C" w:rsidRDefault="00D157FC" w:rsidP="005733F9">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r w:rsidRPr="008E505C">
        <w:rPr>
          <w:rStyle w:val="Refdenotaalpie"/>
          <w:sz w:val="16"/>
          <w:szCs w:val="16"/>
        </w:rPr>
        <w:footnoteRef/>
      </w:r>
      <w:r w:rsidRPr="008E505C">
        <w:rPr>
          <w:sz w:val="16"/>
          <w:szCs w:val="16"/>
        </w:rPr>
        <w:t xml:space="preserve"> </w:t>
      </w:r>
      <w:r w:rsidRPr="008E505C">
        <w:rPr>
          <w:b/>
          <w:bCs/>
          <w:sz w:val="16"/>
          <w:szCs w:val="16"/>
        </w:rPr>
        <w:t xml:space="preserve">5. </w:t>
      </w:r>
      <w:r w:rsidRPr="008E505C">
        <w:rPr>
          <w:sz w:val="16"/>
          <w:szCs w:val="16"/>
        </w:rPr>
        <w:t>Irretroactividad.- Son aplicables las disposiciones sancionadoras vigentes en el momento de incurrir el administrado en la conducta a sancionar, salvo que las posteriores le sean más favorables.</w:t>
      </w:r>
    </w:p>
    <w:p w:rsidR="00D157FC" w:rsidRPr="008E505C" w:rsidRDefault="00D157FC" w:rsidP="005733F9">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p>
  </w:footnote>
  <w:footnote w:id="4">
    <w:p w:rsidR="00D157FC" w:rsidRDefault="00D157FC" w:rsidP="005733F9">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963" w:rsidRDefault="00503963" w:rsidP="00503963">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03963" w:rsidRDefault="00503963" w:rsidP="00503963">
    <w:pPr>
      <w:pStyle w:val="Encabezado"/>
      <w:rPr>
        <w:noProof/>
      </w:rPr>
    </w:pPr>
  </w:p>
  <w:p w:rsidR="00503963" w:rsidRDefault="00503963" w:rsidP="00503963">
    <w:pPr>
      <w:pStyle w:val="Encabezado"/>
      <w:rPr>
        <w:noProof/>
      </w:rPr>
    </w:pPr>
  </w:p>
  <w:p w:rsidR="00503963" w:rsidRDefault="00503963" w:rsidP="00503963">
    <w:pPr>
      <w:pStyle w:val="Encabezado"/>
      <w:rPr>
        <w:noProof/>
      </w:rPr>
    </w:pPr>
  </w:p>
  <w:p w:rsidR="00503963" w:rsidRDefault="00503963" w:rsidP="00503963">
    <w:pPr>
      <w:pStyle w:val="Encabezado"/>
      <w:jc w:val="center"/>
    </w:pPr>
    <w:r>
      <w:rPr>
        <w:rFonts w:ascii="Monotype Corsiva" w:hAnsi="Monotype Corsiva"/>
        <w:b/>
        <w:sz w:val="44"/>
        <w:szCs w:val="44"/>
      </w:rPr>
      <w:t xml:space="preserve">Resolución Nº   </w:t>
    </w:r>
    <w:r>
      <w:rPr>
        <w:rFonts w:ascii="Tahoma" w:hAnsi="Tahoma" w:cs="Tahoma"/>
        <w:b/>
        <w:sz w:val="44"/>
        <w:szCs w:val="44"/>
      </w:rPr>
      <w:t>421-2011-TC-S1</w:t>
    </w:r>
  </w:p>
  <w:p w:rsidR="00503963" w:rsidRDefault="0050396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B2A7D80"/>
    <w:multiLevelType w:val="hybridMultilevel"/>
    <w:tmpl w:val="93603076"/>
    <w:lvl w:ilvl="0" w:tplc="7F3A3152">
      <w:start w:val="1"/>
      <w:numFmt w:val="decimal"/>
      <w:lvlText w:val="%1."/>
      <w:lvlJc w:val="left"/>
      <w:pPr>
        <w:ind w:left="720" w:hanging="360"/>
      </w:pPr>
      <w:rPr>
        <w:b/>
        <w:bCs/>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nsid w:val="19FA3BA3"/>
    <w:multiLevelType w:val="hybridMultilevel"/>
    <w:tmpl w:val="218C5210"/>
    <w:lvl w:ilvl="0" w:tplc="95484F20">
      <w:start w:val="1"/>
      <w:numFmt w:val="decimal"/>
      <w:lvlText w:val="3.%1."/>
      <w:lvlJc w:val="left"/>
      <w:pPr>
        <w:ind w:left="1146" w:hanging="360"/>
      </w:pPr>
      <w:rPr>
        <w:rFonts w:hint="default"/>
        <w:b w:val="0"/>
        <w:bCs w:val="0"/>
        <w:i w:val="0"/>
        <w:iCs w:val="0"/>
        <w:sz w:val="20"/>
        <w:szCs w:val="20"/>
      </w:rPr>
    </w:lvl>
    <w:lvl w:ilvl="1" w:tplc="0C0A0019">
      <w:start w:val="1"/>
      <w:numFmt w:val="lowerLetter"/>
      <w:lvlText w:val="%2."/>
      <w:lvlJc w:val="left"/>
      <w:pPr>
        <w:ind w:left="1866" w:hanging="360"/>
      </w:pPr>
    </w:lvl>
    <w:lvl w:ilvl="2" w:tplc="0C0A001B">
      <w:start w:val="1"/>
      <w:numFmt w:val="lowerRoman"/>
      <w:lvlText w:val="%3."/>
      <w:lvlJc w:val="right"/>
      <w:pPr>
        <w:ind w:left="2586" w:hanging="180"/>
      </w:pPr>
    </w:lvl>
    <w:lvl w:ilvl="3" w:tplc="0C0A000F">
      <w:start w:val="1"/>
      <w:numFmt w:val="decimal"/>
      <w:lvlText w:val="%4."/>
      <w:lvlJc w:val="left"/>
      <w:pPr>
        <w:ind w:left="3306" w:hanging="360"/>
      </w:pPr>
    </w:lvl>
    <w:lvl w:ilvl="4" w:tplc="0C0A0019">
      <w:start w:val="1"/>
      <w:numFmt w:val="lowerLetter"/>
      <w:lvlText w:val="%5."/>
      <w:lvlJc w:val="left"/>
      <w:pPr>
        <w:ind w:left="4026" w:hanging="360"/>
      </w:pPr>
    </w:lvl>
    <w:lvl w:ilvl="5" w:tplc="0C0A001B">
      <w:start w:val="1"/>
      <w:numFmt w:val="lowerRoman"/>
      <w:lvlText w:val="%6."/>
      <w:lvlJc w:val="right"/>
      <w:pPr>
        <w:ind w:left="4746" w:hanging="180"/>
      </w:pPr>
    </w:lvl>
    <w:lvl w:ilvl="6" w:tplc="0C0A000F">
      <w:start w:val="1"/>
      <w:numFmt w:val="decimal"/>
      <w:lvlText w:val="%7."/>
      <w:lvlJc w:val="left"/>
      <w:pPr>
        <w:ind w:left="5466" w:hanging="360"/>
      </w:pPr>
    </w:lvl>
    <w:lvl w:ilvl="7" w:tplc="0C0A0019">
      <w:start w:val="1"/>
      <w:numFmt w:val="lowerLetter"/>
      <w:lvlText w:val="%8."/>
      <w:lvlJc w:val="left"/>
      <w:pPr>
        <w:ind w:left="6186" w:hanging="360"/>
      </w:pPr>
    </w:lvl>
    <w:lvl w:ilvl="8" w:tplc="0C0A001B">
      <w:start w:val="1"/>
      <w:numFmt w:val="lowerRoman"/>
      <w:lvlText w:val="%9."/>
      <w:lvlJc w:val="right"/>
      <w:pPr>
        <w:ind w:left="6906" w:hanging="180"/>
      </w:pPr>
    </w:lvl>
  </w:abstractNum>
  <w:abstractNum w:abstractNumId="3">
    <w:nsid w:val="26722C80"/>
    <w:multiLevelType w:val="hybridMultilevel"/>
    <w:tmpl w:val="327E6F1C"/>
    <w:lvl w:ilvl="0" w:tplc="61B26CA4">
      <w:start w:val="1"/>
      <w:numFmt w:val="upperLetter"/>
      <w:lvlText w:val="%1."/>
      <w:lvlJc w:val="left"/>
      <w:pPr>
        <w:ind w:left="540" w:hanging="54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17BE153C">
      <w:start w:val="1"/>
      <w:numFmt w:val="decimal"/>
      <w:lvlText w:val="%4."/>
      <w:lvlJc w:val="left"/>
      <w:pPr>
        <w:ind w:left="2880" w:hanging="360"/>
      </w:pPr>
      <w:rPr>
        <w:b/>
        <w:bCs/>
        <w:i w:val="0"/>
        <w:iCs w:val="0"/>
        <w:sz w:val="20"/>
        <w:szCs w:val="20"/>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2FAD2FD0"/>
    <w:multiLevelType w:val="hybridMultilevel"/>
    <w:tmpl w:val="4CC20CE4"/>
    <w:lvl w:ilvl="0" w:tplc="07A834C8">
      <w:start w:val="1"/>
      <w:numFmt w:val="decimal"/>
      <w:lvlText w:val="%1."/>
      <w:lvlJc w:val="left"/>
      <w:pPr>
        <w:ind w:left="900" w:hanging="360"/>
      </w:pPr>
      <w:rPr>
        <w:rFonts w:hint="default"/>
        <w:b/>
        <w:bCs/>
      </w:rPr>
    </w:lvl>
    <w:lvl w:ilvl="1" w:tplc="0C0A0019">
      <w:start w:val="1"/>
      <w:numFmt w:val="lowerLetter"/>
      <w:lvlText w:val="%2."/>
      <w:lvlJc w:val="left"/>
      <w:pPr>
        <w:ind w:left="1620" w:hanging="360"/>
      </w:pPr>
    </w:lvl>
    <w:lvl w:ilvl="2" w:tplc="0C0A001B">
      <w:start w:val="1"/>
      <w:numFmt w:val="lowerRoman"/>
      <w:lvlText w:val="%3."/>
      <w:lvlJc w:val="right"/>
      <w:pPr>
        <w:ind w:left="2340" w:hanging="180"/>
      </w:pPr>
    </w:lvl>
    <w:lvl w:ilvl="3" w:tplc="0C0A000F">
      <w:start w:val="1"/>
      <w:numFmt w:val="decimal"/>
      <w:lvlText w:val="%4."/>
      <w:lvlJc w:val="left"/>
      <w:pPr>
        <w:ind w:left="3060" w:hanging="360"/>
      </w:pPr>
    </w:lvl>
    <w:lvl w:ilvl="4" w:tplc="0C0A0019">
      <w:start w:val="1"/>
      <w:numFmt w:val="lowerLetter"/>
      <w:lvlText w:val="%5."/>
      <w:lvlJc w:val="left"/>
      <w:pPr>
        <w:ind w:left="3780" w:hanging="360"/>
      </w:pPr>
    </w:lvl>
    <w:lvl w:ilvl="5" w:tplc="0C0A001B">
      <w:start w:val="1"/>
      <w:numFmt w:val="lowerRoman"/>
      <w:lvlText w:val="%6."/>
      <w:lvlJc w:val="right"/>
      <w:pPr>
        <w:ind w:left="4500" w:hanging="180"/>
      </w:pPr>
    </w:lvl>
    <w:lvl w:ilvl="6" w:tplc="0C0A000F">
      <w:start w:val="1"/>
      <w:numFmt w:val="decimal"/>
      <w:lvlText w:val="%7."/>
      <w:lvlJc w:val="left"/>
      <w:pPr>
        <w:ind w:left="5220" w:hanging="360"/>
      </w:pPr>
    </w:lvl>
    <w:lvl w:ilvl="7" w:tplc="0C0A0019">
      <w:start w:val="1"/>
      <w:numFmt w:val="lowerLetter"/>
      <w:lvlText w:val="%8."/>
      <w:lvlJc w:val="left"/>
      <w:pPr>
        <w:ind w:left="5940" w:hanging="360"/>
      </w:pPr>
    </w:lvl>
    <w:lvl w:ilvl="8" w:tplc="0C0A001B">
      <w:start w:val="1"/>
      <w:numFmt w:val="lowerRoman"/>
      <w:lvlText w:val="%9."/>
      <w:lvlJc w:val="right"/>
      <w:pPr>
        <w:ind w:left="6660" w:hanging="180"/>
      </w:pPr>
    </w:lvl>
  </w:abstractNum>
  <w:abstractNum w:abstractNumId="5">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45A81166"/>
    <w:multiLevelType w:val="hybridMultilevel"/>
    <w:tmpl w:val="A5E26802"/>
    <w:lvl w:ilvl="0" w:tplc="8C9A86E0">
      <w:start w:val="1"/>
      <w:numFmt w:val="lowerRoman"/>
      <w:lvlText w:val="%1)"/>
      <w:lvlJc w:val="left"/>
      <w:pPr>
        <w:tabs>
          <w:tab w:val="num" w:pos="1571"/>
        </w:tabs>
        <w:ind w:left="1571" w:hanging="720"/>
      </w:pPr>
      <w:rPr>
        <w:rFonts w:hint="default"/>
      </w:rPr>
    </w:lvl>
    <w:lvl w:ilvl="1" w:tplc="0C0A0019">
      <w:start w:val="1"/>
      <w:numFmt w:val="lowerLetter"/>
      <w:lvlText w:val="%2."/>
      <w:lvlJc w:val="left"/>
      <w:pPr>
        <w:tabs>
          <w:tab w:val="num" w:pos="1931"/>
        </w:tabs>
        <w:ind w:left="1931" w:hanging="360"/>
      </w:pPr>
    </w:lvl>
    <w:lvl w:ilvl="2" w:tplc="0C0A001B">
      <w:start w:val="1"/>
      <w:numFmt w:val="lowerRoman"/>
      <w:lvlText w:val="%3."/>
      <w:lvlJc w:val="right"/>
      <w:pPr>
        <w:tabs>
          <w:tab w:val="num" w:pos="2651"/>
        </w:tabs>
        <w:ind w:left="2651" w:hanging="180"/>
      </w:pPr>
    </w:lvl>
    <w:lvl w:ilvl="3" w:tplc="0C0A000F">
      <w:start w:val="1"/>
      <w:numFmt w:val="decimal"/>
      <w:lvlText w:val="%4."/>
      <w:lvlJc w:val="left"/>
      <w:pPr>
        <w:tabs>
          <w:tab w:val="num" w:pos="3371"/>
        </w:tabs>
        <w:ind w:left="3371" w:hanging="360"/>
      </w:pPr>
    </w:lvl>
    <w:lvl w:ilvl="4" w:tplc="0C0A0019">
      <w:start w:val="1"/>
      <w:numFmt w:val="lowerLetter"/>
      <w:lvlText w:val="%5."/>
      <w:lvlJc w:val="left"/>
      <w:pPr>
        <w:tabs>
          <w:tab w:val="num" w:pos="4091"/>
        </w:tabs>
        <w:ind w:left="4091" w:hanging="360"/>
      </w:pPr>
    </w:lvl>
    <w:lvl w:ilvl="5" w:tplc="0C0A001B">
      <w:start w:val="1"/>
      <w:numFmt w:val="lowerRoman"/>
      <w:lvlText w:val="%6."/>
      <w:lvlJc w:val="right"/>
      <w:pPr>
        <w:tabs>
          <w:tab w:val="num" w:pos="4811"/>
        </w:tabs>
        <w:ind w:left="4811" w:hanging="180"/>
      </w:pPr>
    </w:lvl>
    <w:lvl w:ilvl="6" w:tplc="0C0A000F">
      <w:start w:val="1"/>
      <w:numFmt w:val="decimal"/>
      <w:lvlText w:val="%7."/>
      <w:lvlJc w:val="left"/>
      <w:pPr>
        <w:tabs>
          <w:tab w:val="num" w:pos="5531"/>
        </w:tabs>
        <w:ind w:left="5531" w:hanging="360"/>
      </w:pPr>
    </w:lvl>
    <w:lvl w:ilvl="7" w:tplc="0C0A0019">
      <w:start w:val="1"/>
      <w:numFmt w:val="lowerLetter"/>
      <w:lvlText w:val="%8."/>
      <w:lvlJc w:val="left"/>
      <w:pPr>
        <w:tabs>
          <w:tab w:val="num" w:pos="6251"/>
        </w:tabs>
        <w:ind w:left="6251" w:hanging="360"/>
      </w:pPr>
    </w:lvl>
    <w:lvl w:ilvl="8" w:tplc="0C0A001B">
      <w:start w:val="1"/>
      <w:numFmt w:val="lowerRoman"/>
      <w:lvlText w:val="%9."/>
      <w:lvlJc w:val="right"/>
      <w:pPr>
        <w:tabs>
          <w:tab w:val="num" w:pos="6971"/>
        </w:tabs>
        <w:ind w:left="6971" w:hanging="180"/>
      </w:pPr>
    </w:lvl>
  </w:abstractNum>
  <w:abstractNum w:abstractNumId="7">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5733F9"/>
    <w:rsid w:val="00045EC6"/>
    <w:rsid w:val="0026239F"/>
    <w:rsid w:val="00503963"/>
    <w:rsid w:val="005733F9"/>
    <w:rsid w:val="005810F4"/>
    <w:rsid w:val="0066645E"/>
    <w:rsid w:val="006D289A"/>
    <w:rsid w:val="008A5E02"/>
    <w:rsid w:val="008A6BEC"/>
    <w:rsid w:val="008E505C"/>
    <w:rsid w:val="00930D43"/>
    <w:rsid w:val="0096071E"/>
    <w:rsid w:val="00A51D9C"/>
    <w:rsid w:val="00AE672C"/>
    <w:rsid w:val="00B615BC"/>
    <w:rsid w:val="00B64D9E"/>
    <w:rsid w:val="00B95A50"/>
    <w:rsid w:val="00D157FC"/>
    <w:rsid w:val="00D75413"/>
    <w:rsid w:val="00E014C3"/>
    <w:rsid w:val="00E0598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3F9"/>
    <w:rPr>
      <w:rFonts w:ascii="Calibri" w:eastAsia="Calibri" w:hAnsi="Calibri" w:cs="Times New Roman"/>
    </w:rPr>
  </w:style>
  <w:style w:type="paragraph" w:styleId="Ttulo2">
    <w:name w:val="heading 2"/>
    <w:basedOn w:val="Normal"/>
    <w:next w:val="Normal"/>
    <w:link w:val="Ttulo2Car"/>
    <w:qFormat/>
    <w:rsid w:val="005733F9"/>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5733F9"/>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733F9"/>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5733F9"/>
    <w:rPr>
      <w:rFonts w:ascii="Arial" w:eastAsia="Calibri" w:hAnsi="Arial" w:cs="Arial"/>
      <w:b/>
      <w:bCs/>
      <w:sz w:val="26"/>
      <w:szCs w:val="26"/>
    </w:rPr>
  </w:style>
  <w:style w:type="paragraph" w:styleId="Textoindependiente3">
    <w:name w:val="Body Text 3"/>
    <w:basedOn w:val="Normal"/>
    <w:link w:val="Textoindependiente3Car"/>
    <w:semiHidden/>
    <w:unhideWhenUsed/>
    <w:rsid w:val="005733F9"/>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5733F9"/>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5733F9"/>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5733F9"/>
    <w:pPr>
      <w:tabs>
        <w:tab w:val="center" w:pos="4252"/>
        <w:tab w:val="right" w:pos="8504"/>
      </w:tabs>
    </w:pPr>
  </w:style>
  <w:style w:type="character" w:customStyle="1" w:styleId="PiedepginaCar">
    <w:name w:val="Pie de página Car"/>
    <w:basedOn w:val="Fuentedeprrafopredeter"/>
    <w:link w:val="Piedepgina"/>
    <w:uiPriority w:val="99"/>
    <w:rsid w:val="005733F9"/>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
    <w:basedOn w:val="Normal"/>
    <w:link w:val="TextonotapieCar"/>
    <w:uiPriority w:val="99"/>
    <w:rsid w:val="005733F9"/>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5733F9"/>
    <w:rPr>
      <w:rFonts w:ascii="Tahoma" w:eastAsia="Calibri" w:hAnsi="Tahoma" w:cs="Tahoma"/>
      <w:sz w:val="20"/>
      <w:szCs w:val="20"/>
    </w:rPr>
  </w:style>
  <w:style w:type="character" w:styleId="Refdenotaalpie">
    <w:name w:val="footnote reference"/>
    <w:basedOn w:val="Fuentedeprrafopredeter"/>
    <w:uiPriority w:val="99"/>
    <w:semiHidden/>
    <w:rsid w:val="005733F9"/>
    <w:rPr>
      <w:vertAlign w:val="superscript"/>
    </w:rPr>
  </w:style>
  <w:style w:type="paragraph" w:styleId="Textoindependiente">
    <w:name w:val="Body Text"/>
    <w:basedOn w:val="Normal"/>
    <w:link w:val="TextoindependienteCar"/>
    <w:uiPriority w:val="99"/>
    <w:semiHidden/>
    <w:unhideWhenUsed/>
    <w:rsid w:val="005733F9"/>
    <w:pPr>
      <w:spacing w:after="120"/>
    </w:pPr>
  </w:style>
  <w:style w:type="character" w:customStyle="1" w:styleId="TextoindependienteCar">
    <w:name w:val="Texto independiente Car"/>
    <w:basedOn w:val="Fuentedeprrafopredeter"/>
    <w:link w:val="Textoindependiente"/>
    <w:uiPriority w:val="99"/>
    <w:semiHidden/>
    <w:rsid w:val="005733F9"/>
    <w:rPr>
      <w:rFonts w:ascii="Calibri" w:eastAsia="Calibri" w:hAnsi="Calibri" w:cs="Times New Roman"/>
    </w:rPr>
  </w:style>
  <w:style w:type="paragraph" w:styleId="NormalWeb">
    <w:name w:val="Normal (Web)"/>
    <w:basedOn w:val="Normal"/>
    <w:uiPriority w:val="99"/>
    <w:rsid w:val="005733F9"/>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5733F9"/>
    <w:pPr>
      <w:spacing w:after="0" w:line="240" w:lineRule="auto"/>
      <w:ind w:left="720"/>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045EC6"/>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045EC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89793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7</Pages>
  <Words>2652</Words>
  <Characters>14586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8</cp:revision>
  <cp:lastPrinted>2011-03-09T20:28:00Z</cp:lastPrinted>
  <dcterms:created xsi:type="dcterms:W3CDTF">2011-03-09T16:11:00Z</dcterms:created>
  <dcterms:modified xsi:type="dcterms:W3CDTF">2011-04-08T14:50:00Z</dcterms:modified>
</cp:coreProperties>
</file>